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26" w:rsidRDefault="00D26426" w:rsidP="00D26426">
      <w:pPr>
        <w:spacing w:line="48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Sumptuary Laws in </w:t>
      </w:r>
      <w:r w:rsidR="004C7426">
        <w:rPr>
          <w:rFonts w:ascii="Times New Roman" w:hAnsi="Times New Roman" w:cs="Times New Roman"/>
          <w:b/>
          <w:i/>
          <w:sz w:val="24"/>
          <w:szCs w:val="24"/>
        </w:rPr>
        <w:t xml:space="preserve">Precolonial </w:t>
      </w:r>
      <w:r>
        <w:rPr>
          <w:rFonts w:ascii="Times New Roman" w:hAnsi="Times New Roman" w:cs="Times New Roman"/>
          <w:b/>
          <w:i/>
          <w:sz w:val="24"/>
          <w:szCs w:val="24"/>
        </w:rPr>
        <w:t xml:space="preserve">West Africa: The Examples of Benin and </w:t>
      </w:r>
      <w:proofErr w:type="spellStart"/>
      <w:r>
        <w:rPr>
          <w:rFonts w:ascii="Times New Roman" w:hAnsi="Times New Roman" w:cs="Times New Roman"/>
          <w:b/>
          <w:i/>
          <w:sz w:val="24"/>
          <w:szCs w:val="24"/>
        </w:rPr>
        <w:t>Dahomey</w:t>
      </w:r>
      <w:proofErr w:type="spellEnd"/>
    </w:p>
    <w:p w:rsidR="00D26426" w:rsidRDefault="00D26426" w:rsidP="00D26426">
      <w:pPr>
        <w:pStyle w:val="NormalWeb"/>
        <w:spacing w:line="480" w:lineRule="auto"/>
        <w:contextualSpacing/>
        <w:jc w:val="center"/>
        <w:rPr>
          <w:b/>
          <w:bCs/>
        </w:rPr>
      </w:pPr>
      <w:r>
        <w:rPr>
          <w:b/>
          <w:bCs/>
        </w:rPr>
        <w:t>Toby Green</w:t>
      </w:r>
    </w:p>
    <w:p w:rsidR="00D26426" w:rsidRDefault="00D26426" w:rsidP="00D26426">
      <w:pPr>
        <w:pStyle w:val="NormalWeb"/>
        <w:spacing w:line="480" w:lineRule="auto"/>
        <w:contextualSpacing/>
        <w:jc w:val="both"/>
        <w:rPr>
          <w:bCs/>
        </w:rPr>
      </w:pPr>
    </w:p>
    <w:p w:rsidR="00D26426" w:rsidRDefault="00D26426" w:rsidP="00D26426">
      <w:pPr>
        <w:pStyle w:val="NormalWeb"/>
        <w:spacing w:line="480" w:lineRule="auto"/>
        <w:contextualSpacing/>
        <w:jc w:val="both"/>
        <w:rPr>
          <w:bCs/>
        </w:rPr>
      </w:pPr>
      <w:r>
        <w:rPr>
          <w:bCs/>
        </w:rPr>
        <w:t>Prior to 1800, West African history is in general little studied in the Western Academy. Where precolonial African history is studied in detail, this tends to relate to the trans-Atlantic slave trade, a feature in which the impact of the 200+-year-old abolitionist movement is writ large. In the late 18</w:t>
      </w:r>
      <w:r w:rsidRPr="00D26426">
        <w:rPr>
          <w:bCs/>
          <w:vertAlign w:val="superscript"/>
        </w:rPr>
        <w:t>th</w:t>
      </w:r>
      <w:r>
        <w:rPr>
          <w:bCs/>
        </w:rPr>
        <w:t xml:space="preserve"> century, abolitionis</w:t>
      </w:r>
      <w:r w:rsidR="0078343E">
        <w:rPr>
          <w:bCs/>
        </w:rPr>
        <w:t>t debates in the United Kingdom</w:t>
      </w:r>
      <w:r>
        <w:rPr>
          <w:bCs/>
        </w:rPr>
        <w:t xml:space="preserve"> centred around the impact of the slave trade on the political disorder then apparent in many parts of Western Africa; abolitionists argued that the slave trade had led to political corruption and turmoil, of which it was a cause, whereas those in favour of continuing the trade in enslaved persons held that this trade “rescued” captives from a benighted continent. The core focus was thus the impact of the institution of slavery</w:t>
      </w:r>
      <w:r w:rsidR="00B03125">
        <w:rPr>
          <w:bCs/>
        </w:rPr>
        <w:t xml:space="preserve"> on African histori</w:t>
      </w:r>
      <w:r w:rsidR="0078343E">
        <w:rPr>
          <w:bCs/>
        </w:rPr>
        <w:t>es</w:t>
      </w:r>
      <w:r>
        <w:rPr>
          <w:bCs/>
        </w:rPr>
        <w:t>, and this remains the case to this day when it comes to the study of African history outside the continent.</w:t>
      </w:r>
    </w:p>
    <w:p w:rsidR="00D26426" w:rsidRDefault="00D26426" w:rsidP="00D26426">
      <w:pPr>
        <w:pStyle w:val="NormalWeb"/>
        <w:spacing w:line="480" w:lineRule="auto"/>
        <w:ind w:firstLine="720"/>
        <w:contextualSpacing/>
        <w:jc w:val="both"/>
      </w:pPr>
      <w:r>
        <w:t>Certainly, the problems of the Abolitionist-derived focus on slavery in African history must be acknowledged. Ever since the 1780s, the history of Africa in Western discourse has either been dismissed as non-existent (by the likes of GWF Hegel and Hugh Trevor-Roper), or has been associated more or less exclusively with the realities of slavery. The dearth of historians specialising on areas other than slavery teaching pre-colonial African history in the History departments of major Western institutions underlines the point. There can at times be little scope in this discussion to allow for sustained discussions of – for instance -- art, music or poetry in West African and indeed Atlantic history; or to consider changes in religious lives and practice which formed a crucial lens through which all these historical changes were experienced.</w:t>
      </w:r>
    </w:p>
    <w:p w:rsidR="00770428" w:rsidRDefault="00770428" w:rsidP="00D26426">
      <w:pPr>
        <w:pStyle w:val="NormalWeb"/>
        <w:spacing w:line="480" w:lineRule="auto"/>
        <w:ind w:firstLine="720"/>
        <w:contextualSpacing/>
        <w:jc w:val="both"/>
      </w:pPr>
      <w:r>
        <w:t>One of the corollaries of this historiographical context is that there are many areas in the historiography of Africa which have not been fully addressed by historians of the continent</w:t>
      </w:r>
      <w:r w:rsidR="00B03125">
        <w:t xml:space="preserve">, </w:t>
      </w:r>
      <w:r w:rsidR="00B03125">
        <w:lastRenderedPageBreak/>
        <w:t>and</w:t>
      </w:r>
      <w:r w:rsidR="002307B6">
        <w:t xml:space="preserve"> therefore have not been</w:t>
      </w:r>
      <w:r w:rsidR="00B03125">
        <w:t xml:space="preserve"> assimilated into more general accounts of historical change by those who are not specialists</w:t>
      </w:r>
      <w:r>
        <w:t xml:space="preserve">. Partly, this is owing to the comparatively recent origins of the field (which really began to grow in the 1960s), and partly too owing to the fact that many core concepts of History are European and do not map well into an African context. Yet there are many areas which would benefit from discussion and which have yet to be properly addressed, and the question of </w:t>
      </w:r>
      <w:r w:rsidR="00662DCA">
        <w:t xml:space="preserve">historical changes in </w:t>
      </w:r>
      <w:r>
        <w:t>sumptuary laws is one of these.</w:t>
      </w:r>
    </w:p>
    <w:p w:rsidR="000864EF" w:rsidRDefault="000864EF" w:rsidP="00D26426">
      <w:pPr>
        <w:pStyle w:val="NormalWeb"/>
        <w:spacing w:line="480" w:lineRule="auto"/>
        <w:ind w:firstLine="720"/>
        <w:contextualSpacing/>
        <w:jc w:val="both"/>
      </w:pPr>
      <w:r>
        <w:t xml:space="preserve">Little or almost nothing has been written directly on sumptuary laws in West Africa in the </w:t>
      </w:r>
      <w:r w:rsidR="00D460FC">
        <w:t xml:space="preserve">precolonial </w:t>
      </w:r>
      <w:r>
        <w:t xml:space="preserve">period. However there is a vast array of material on the matter in a range of primary documents and printed accounts written in Arabic, Dutch, English, French and Portuguese. </w:t>
      </w:r>
      <w:r w:rsidR="002E66B5">
        <w:t>To propose a full analysis in the space available here would be impossible, given the range of materials</w:t>
      </w:r>
      <w:r w:rsidR="00395F99">
        <w:t xml:space="preserve"> and the number and complexity of the different kingdoms in the region</w:t>
      </w:r>
      <w:r w:rsidR="001E5A48">
        <w:t>. A</w:t>
      </w:r>
      <w:r w:rsidR="002E66B5">
        <w:t xml:space="preserve">s a result </w:t>
      </w:r>
      <w:r w:rsidR="004167A0">
        <w:t xml:space="preserve">in this chapter </w:t>
      </w:r>
      <w:r w:rsidR="002E66B5">
        <w:t>I have decided to examine</w:t>
      </w:r>
      <w:r>
        <w:t xml:space="preserve"> these laws by looking at two of the more famous kingdoms in West Africa, </w:t>
      </w:r>
      <w:proofErr w:type="spellStart"/>
      <w:r>
        <w:t>Dahomey</w:t>
      </w:r>
      <w:proofErr w:type="spellEnd"/>
      <w:r>
        <w:t xml:space="preserve"> and Benin. While Benin </w:t>
      </w:r>
      <w:r w:rsidR="004167A0">
        <w:t xml:space="preserve">– located </w:t>
      </w:r>
      <w:r w:rsidR="009360D2">
        <w:t xml:space="preserve">to the </w:t>
      </w:r>
      <w:proofErr w:type="gramStart"/>
      <w:r w:rsidR="009360D2">
        <w:t>E</w:t>
      </w:r>
      <w:r w:rsidR="004167A0">
        <w:t>ast  of</w:t>
      </w:r>
      <w:proofErr w:type="gramEnd"/>
      <w:r w:rsidR="004167A0">
        <w:t xml:space="preserve"> Lagos in what is now Nigeria – flourished </w:t>
      </w:r>
      <w:r>
        <w:t>from th</w:t>
      </w:r>
      <w:r w:rsidR="002E66B5">
        <w:t>e</w:t>
      </w:r>
      <w:r>
        <w:t xml:space="preserve"> </w:t>
      </w:r>
      <w:r w:rsidR="00F300B3">
        <w:t>mid-</w:t>
      </w:r>
      <w:r>
        <w:t>15</w:t>
      </w:r>
      <w:r w:rsidRPr="00C77BF4">
        <w:rPr>
          <w:vertAlign w:val="superscript"/>
        </w:rPr>
        <w:t>th</w:t>
      </w:r>
      <w:r>
        <w:t xml:space="preserve"> century onwards, and remained a powerful kingdom into the late 18</w:t>
      </w:r>
      <w:r w:rsidRPr="00C77BF4">
        <w:rPr>
          <w:vertAlign w:val="superscript"/>
        </w:rPr>
        <w:t>th</w:t>
      </w:r>
      <w:r>
        <w:t xml:space="preserve"> century, </w:t>
      </w:r>
      <w:proofErr w:type="spellStart"/>
      <w:r>
        <w:t>Dahomey’s</w:t>
      </w:r>
      <w:proofErr w:type="spellEnd"/>
      <w:r>
        <w:t xml:space="preserve"> power rose through its direct access to the trans-Atlantic slav</w:t>
      </w:r>
      <w:r w:rsidR="002E66B5">
        <w:t>e trade from the 1720s onwards</w:t>
      </w:r>
      <w:r w:rsidR="004167A0">
        <w:t xml:space="preserve">; and </w:t>
      </w:r>
      <w:proofErr w:type="spellStart"/>
      <w:r w:rsidR="004167A0">
        <w:t>Dahomey</w:t>
      </w:r>
      <w:proofErr w:type="spellEnd"/>
      <w:r w:rsidR="00395F99">
        <w:t xml:space="preserve"> remained the major kingdom in what is now the Republic of Benin until </w:t>
      </w:r>
      <w:r w:rsidR="004167A0">
        <w:t xml:space="preserve">the imposition of </w:t>
      </w:r>
      <w:r w:rsidR="00395F99">
        <w:t>formal French colonialism in the late 19</w:t>
      </w:r>
      <w:r w:rsidR="00395F99" w:rsidRPr="00395F99">
        <w:rPr>
          <w:vertAlign w:val="superscript"/>
        </w:rPr>
        <w:t>th</w:t>
      </w:r>
      <w:r w:rsidR="00395F99">
        <w:t xml:space="preserve"> century</w:t>
      </w:r>
      <w:r w:rsidR="002E66B5">
        <w:t>.</w:t>
      </w:r>
    </w:p>
    <w:p w:rsidR="002A7F2D" w:rsidRDefault="004167A0" w:rsidP="002A7F2D">
      <w:pPr>
        <w:pStyle w:val="NormalWeb"/>
        <w:spacing w:line="480" w:lineRule="auto"/>
        <w:ind w:firstLine="720"/>
        <w:contextualSpacing/>
        <w:jc w:val="both"/>
      </w:pPr>
      <w:r>
        <w:t xml:space="preserve">The inclusion of this chapter in this volume is of interest for a number of reasons. </w:t>
      </w:r>
      <w:r w:rsidR="002A7F2D">
        <w:t xml:space="preserve">From the perspective of those interested in the history of West Africa, the analysis of sumptuary laws supports the development of historical discourse beyond the field of the study of slavery, already a useful contribution. But secondly it adds an important strand to the understanding of the process of political change on the continent. The regulation of consumption was a key strand in the armoury of increasing political power which was an important feature of society in many West African societies at this time. Understanding the nexus between consumption, </w:t>
      </w:r>
      <w:r w:rsidR="002A7F2D">
        <w:lastRenderedPageBreak/>
        <w:t>display, and power may therefore offer a useful perspective in understanding the concentration of political power which characterized many parts of the region during the era of the trade in enslaved persons.</w:t>
      </w:r>
      <w:r w:rsidR="00F90080">
        <w:t xml:space="preserve"> It helps in understanding the rise and establishment of the state in modern African history through a different lens.</w:t>
      </w:r>
    </w:p>
    <w:p w:rsidR="00CA6BEB" w:rsidRDefault="00F3507B" w:rsidP="00D26426">
      <w:pPr>
        <w:pStyle w:val="NormalWeb"/>
        <w:spacing w:line="480" w:lineRule="auto"/>
        <w:ind w:firstLine="720"/>
        <w:contextualSpacing/>
        <w:jc w:val="both"/>
      </w:pPr>
      <w:r>
        <w:t xml:space="preserve">With regard to the broader discussion of sumptuary laws undertaken in this volume, this chapter can also offer an important perspective </w:t>
      </w:r>
      <w:r w:rsidR="00CA6BEB">
        <w:t xml:space="preserve">through the differences which emerge between the situation in West Africa and that studied in the other case studies in this volume. The regulation of expense which is a key feature of sumptuary laws emerges in a different context in the case studies examined here. It was not through specific control of personal outlays on clothing that the kings of Benin and </w:t>
      </w:r>
      <w:proofErr w:type="spellStart"/>
      <w:r w:rsidR="00CA6BEB">
        <w:t>Dahomey</w:t>
      </w:r>
      <w:proofErr w:type="spellEnd"/>
      <w:r w:rsidR="00CA6BEB">
        <w:t xml:space="preserve"> exercised control over what was worn and displayed, but through other avenues of control: prohibitions, control over trade, and the development of a legal framework which enshrined this power. Thus these case studies provide an interesting way of stretching the concept of the sumptuary law, and understanding also more broadly how global patterns of consumption varied from one </w:t>
      </w:r>
      <w:r w:rsidR="00D05BFD">
        <w:t>world region</w:t>
      </w:r>
      <w:r w:rsidR="00CA6BEB">
        <w:t xml:space="preserve"> to another.</w:t>
      </w:r>
    </w:p>
    <w:p w:rsidR="004167A0" w:rsidRDefault="00CA6BEB" w:rsidP="00D26426">
      <w:pPr>
        <w:pStyle w:val="NormalWeb"/>
        <w:spacing w:line="480" w:lineRule="auto"/>
        <w:ind w:firstLine="720"/>
        <w:contextualSpacing/>
        <w:jc w:val="both"/>
      </w:pPr>
      <w:r>
        <w:t xml:space="preserve">These case studies can therefore </w:t>
      </w:r>
      <w:r w:rsidR="00F3507B">
        <w:t>put</w:t>
      </w:r>
      <w:r w:rsidR="004167A0">
        <w:t xml:space="preserve"> the rise of mass consumption in E</w:t>
      </w:r>
      <w:r w:rsidR="002306E2">
        <w:t>uropean nations during the same period</w:t>
      </w:r>
      <w:r w:rsidR="004167A0">
        <w:t xml:space="preserve"> into an interesting context. Where the hold of the </w:t>
      </w:r>
      <w:r w:rsidR="009360D2">
        <w:t xml:space="preserve">European </w:t>
      </w:r>
      <w:r w:rsidR="004167A0">
        <w:t>nobility over consumption power waned in the 17</w:t>
      </w:r>
      <w:r w:rsidR="004167A0" w:rsidRPr="004167A0">
        <w:rPr>
          <w:vertAlign w:val="superscript"/>
        </w:rPr>
        <w:t>th</w:t>
      </w:r>
      <w:r w:rsidR="004167A0">
        <w:t xml:space="preserve"> and the 18</w:t>
      </w:r>
      <w:r w:rsidR="004167A0" w:rsidRPr="004167A0">
        <w:rPr>
          <w:vertAlign w:val="superscript"/>
        </w:rPr>
        <w:t>th</w:t>
      </w:r>
      <w:r w:rsidR="004167A0">
        <w:t xml:space="preserve"> centuries </w:t>
      </w:r>
      <w:r w:rsidR="009360D2">
        <w:t xml:space="preserve">with the rise of the bourgeoisie, in both Benin and </w:t>
      </w:r>
      <w:proofErr w:type="spellStart"/>
      <w:r w:rsidR="009360D2">
        <w:t>Dahomey</w:t>
      </w:r>
      <w:proofErr w:type="spellEnd"/>
      <w:r w:rsidR="009360D2">
        <w:t xml:space="preserve"> monarchs retained great power over rights of consumption and display through strict control over imports, and the creation of special administrative posts which regulated this trade. The use of particular </w:t>
      </w:r>
      <w:r w:rsidR="00F16D1F">
        <w:t xml:space="preserve">imported </w:t>
      </w:r>
      <w:r w:rsidR="009360D2">
        <w:t>cloths</w:t>
      </w:r>
      <w:r w:rsidR="00F16D1F">
        <w:t xml:space="preserve"> and jewels</w:t>
      </w:r>
      <w:r w:rsidR="009360D2">
        <w:t>, and the consumption of certain foods, remained limited to the royal elite, and this helped to augment strict class divisions in each kingdom. The growth of the mass import of goods from Asia and Europe in West Africa thus did not contribute to the democratization of co</w:t>
      </w:r>
      <w:r w:rsidR="005D6E0D">
        <w:t>nsumption, but rather cemente</w:t>
      </w:r>
      <w:r w:rsidR="00D9622F">
        <w:t>d</w:t>
      </w:r>
      <w:r w:rsidR="009360D2">
        <w:t xml:space="preserve"> divisions in society which were manifested (in part) through differential access to the new goods.</w:t>
      </w:r>
    </w:p>
    <w:p w:rsidR="002D7715" w:rsidRDefault="002D7715" w:rsidP="002D7715">
      <w:pPr>
        <w:pStyle w:val="NormalWeb"/>
        <w:spacing w:line="480" w:lineRule="auto"/>
        <w:contextualSpacing/>
        <w:jc w:val="both"/>
      </w:pPr>
    </w:p>
    <w:p w:rsidR="00AE2E1E" w:rsidRDefault="00025C6A" w:rsidP="00AE2E1E">
      <w:pPr>
        <w:pStyle w:val="NormalWeb"/>
        <w:spacing w:line="480" w:lineRule="auto"/>
        <w:contextualSpacing/>
        <w:jc w:val="both"/>
        <w:rPr>
          <w:b/>
          <w:i/>
        </w:rPr>
      </w:pPr>
      <w:r w:rsidRPr="00AE2E1E">
        <w:rPr>
          <w:b/>
          <w:i/>
        </w:rPr>
        <w:t xml:space="preserve">Benin: Sumptuary Laws in a </w:t>
      </w:r>
      <w:r w:rsidR="007D7342">
        <w:rPr>
          <w:b/>
          <w:i/>
        </w:rPr>
        <w:t xml:space="preserve">West African </w:t>
      </w:r>
      <w:r w:rsidRPr="00AE2E1E">
        <w:rPr>
          <w:b/>
          <w:i/>
        </w:rPr>
        <w:t>Forest Kingdom</w:t>
      </w:r>
    </w:p>
    <w:p w:rsidR="00AE2E1E" w:rsidRDefault="00AE2E1E" w:rsidP="00AE2E1E">
      <w:pPr>
        <w:pStyle w:val="NormalWeb"/>
        <w:spacing w:line="480" w:lineRule="auto"/>
        <w:contextualSpacing/>
        <w:jc w:val="both"/>
      </w:pPr>
      <w:r w:rsidRPr="00AE2E1E">
        <w:t xml:space="preserve">Benin was one of the most enduring and important of pre-colonial West African kingdoms. Situated to the east of Lagos in what is now southern Nigeria, it was a state that had a long history prior to the arrival of Portuguese </w:t>
      </w:r>
      <w:r w:rsidR="00792C30">
        <w:t>ship</w:t>
      </w:r>
      <w:r w:rsidRPr="00AE2E1E">
        <w:t xml:space="preserve">s in the late 1480s. After probably being founded in around 1200CE, </w:t>
      </w:r>
      <w:r>
        <w:t xml:space="preserve">it grew rapidly, with strong connections to the heart of </w:t>
      </w:r>
      <w:proofErr w:type="spellStart"/>
      <w:r>
        <w:t>Yorubà</w:t>
      </w:r>
      <w:proofErr w:type="spellEnd"/>
      <w:r>
        <w:t xml:space="preserve"> culture at Ile-Ife. </w:t>
      </w:r>
      <w:r w:rsidRPr="00AE2E1E">
        <w:t>Connections between Edo and Ile-Ife remained close throughout the history of Benin. Towards the end of the 13</w:t>
      </w:r>
      <w:r w:rsidRPr="00AE2E1E">
        <w:rPr>
          <w:vertAlign w:val="superscript"/>
        </w:rPr>
        <w:t>th</w:t>
      </w:r>
      <w:r w:rsidRPr="00AE2E1E">
        <w:t xml:space="preserve"> century, Oba </w:t>
      </w:r>
      <w:proofErr w:type="spellStart"/>
      <w:r w:rsidRPr="00AE2E1E">
        <w:t>Oguola</w:t>
      </w:r>
      <w:proofErr w:type="spellEnd"/>
      <w:r w:rsidRPr="00AE2E1E">
        <w:t xml:space="preserve"> is said to have sent to Ile-Ife for a master bronze caster</w:t>
      </w:r>
      <w:r>
        <w:t xml:space="preserve"> to teach the craft to the Edo, and exchange with Ile-Ife deepened the craft in Edo as the centuries passed. Moreover, as the historians Peter </w:t>
      </w:r>
      <w:proofErr w:type="spellStart"/>
      <w:r>
        <w:t>Roese</w:t>
      </w:r>
      <w:proofErr w:type="spellEnd"/>
      <w:r>
        <w:t xml:space="preserve"> and Dmitri </w:t>
      </w:r>
      <w:proofErr w:type="spellStart"/>
      <w:r>
        <w:t>Bondarenko</w:t>
      </w:r>
      <w:proofErr w:type="spellEnd"/>
      <w:r>
        <w:t xml:space="preserve"> have shown, Edo rituals reveal the close links to the Yoruba, since heads of the deceased </w:t>
      </w:r>
      <w:proofErr w:type="spellStart"/>
      <w:r>
        <w:t>Obas</w:t>
      </w:r>
      <w:proofErr w:type="spellEnd"/>
      <w:r>
        <w:t xml:space="preserve"> were sent to Ife for burial right up to the time of the British conquest.</w:t>
      </w:r>
      <w:r w:rsidR="00AD7E89">
        <w:rPr>
          <w:rStyle w:val="FootnoteReference"/>
        </w:rPr>
        <w:footnoteReference w:id="1"/>
      </w:r>
      <w:r>
        <w:t xml:space="preserve"> </w:t>
      </w:r>
    </w:p>
    <w:p w:rsidR="00AE2E1E" w:rsidRDefault="00AE2E1E" w:rsidP="00AE2E1E">
      <w:pPr>
        <w:pStyle w:val="NormalWeb"/>
        <w:spacing w:line="480" w:lineRule="auto"/>
        <w:contextualSpacing/>
        <w:jc w:val="both"/>
      </w:pPr>
      <w:r>
        <w:tab/>
        <w:t xml:space="preserve">By the 1450s, a series of changes began to affect Benin. To the North of Benin, in Oyo and </w:t>
      </w:r>
      <w:proofErr w:type="spellStart"/>
      <w:r>
        <w:t>Nupe</w:t>
      </w:r>
      <w:proofErr w:type="spellEnd"/>
      <w:r>
        <w:t>, dynasties became consolidated and developed new relationships with the Edo</w:t>
      </w:r>
      <w:r w:rsidR="00792C30">
        <w:t xml:space="preserve"> people of Benin</w:t>
      </w:r>
      <w:r>
        <w:t xml:space="preserve">. In Benin, Oba </w:t>
      </w:r>
      <w:proofErr w:type="spellStart"/>
      <w:r>
        <w:t>Ewuare</w:t>
      </w:r>
      <w:proofErr w:type="spellEnd"/>
      <w:r>
        <w:t xml:space="preserve"> (enthroned c. 1440) responded by strengthening town chiefs against palace factions in a bid for unity. Administrative changes consolidated the kingdom, with the establishment of three associations of palace chiefs and royal festivals designed to protect and renew the kingdom. </w:t>
      </w:r>
      <w:proofErr w:type="spellStart"/>
      <w:r>
        <w:t>Ewuare</w:t>
      </w:r>
      <w:proofErr w:type="spellEnd"/>
      <w:r>
        <w:t xml:space="preserve"> also expanded the urban structures of Edo (the Bini name for the capital of Benin), improving the road system. These developments were facilitated by growing military power.</w:t>
      </w:r>
      <w:r w:rsidR="007C4E5F">
        <w:rPr>
          <w:rStyle w:val="FootnoteReference"/>
        </w:rPr>
        <w:footnoteReference w:id="2"/>
      </w:r>
    </w:p>
    <w:p w:rsidR="00AE2E1E" w:rsidRDefault="00AE2E1E" w:rsidP="00AE2E1E">
      <w:pPr>
        <w:pStyle w:val="NormalWeb"/>
        <w:spacing w:line="480" w:lineRule="auto"/>
        <w:ind w:firstLine="720"/>
        <w:contextualSpacing/>
        <w:jc w:val="both"/>
      </w:pPr>
      <w:r>
        <w:t xml:space="preserve">Thus in the decades prior to the Portuguese arrival in the 1480s, Benin had expanded territorially as well as consolidating as a state. A key facet of this was that, as AFC Ryder noted, Oba </w:t>
      </w:r>
      <w:proofErr w:type="spellStart"/>
      <w:r>
        <w:t>Ewuare’s</w:t>
      </w:r>
      <w:proofErr w:type="spellEnd"/>
      <w:r>
        <w:t xml:space="preserve"> power was strengthened by his reputation as both a magician and </w:t>
      </w:r>
      <w:r>
        <w:lastRenderedPageBreak/>
        <w:t>warrior.</w:t>
      </w:r>
      <w:r w:rsidR="00ED5C02">
        <w:rPr>
          <w:rStyle w:val="FootnoteReference"/>
        </w:rPr>
        <w:footnoteReference w:id="3"/>
      </w:r>
      <w:r>
        <w:t xml:space="preserve"> The belief that the dynasty was supernaturally gifted fed military success, which in turn fed this belief. This aspect of Benin would play a key part in the kingdom’s early relationship with European powers, since it rapidly became clear that the Edo showed no signs of converting to Christianity.</w:t>
      </w:r>
    </w:p>
    <w:p w:rsidR="00AE2E1E" w:rsidRDefault="00AE2E1E" w:rsidP="00AE2E1E">
      <w:pPr>
        <w:pStyle w:val="NormalWeb"/>
        <w:spacing w:line="480" w:lineRule="auto"/>
        <w:ind w:firstLine="720"/>
        <w:contextualSpacing/>
        <w:jc w:val="both"/>
      </w:pPr>
      <w:r>
        <w:t xml:space="preserve">The next 50 years saw the evolution of the trading relationship which characterised the first two centuries of Benin’s relations with European traders. The initial focus of trade in the 1490s was in the </w:t>
      </w:r>
      <w:proofErr w:type="spellStart"/>
      <w:r>
        <w:t>Beni</w:t>
      </w:r>
      <w:proofErr w:type="spellEnd"/>
      <w:r>
        <w:t xml:space="preserve"> pepper, which served as a popular substitute for Indian spices and was marketed by Portuguese traders through their strong networks in Antwerp (Belgium). But when spices from India came onto the market following Vasco da Gama’s voyage to Calicut at the end of the 15</w:t>
      </w:r>
      <w:r w:rsidRPr="006741B5">
        <w:rPr>
          <w:vertAlign w:val="superscript"/>
        </w:rPr>
        <w:t>th</w:t>
      </w:r>
      <w:r>
        <w:t xml:space="preserve"> century, the focus began to shift to the trade in enslaved persons</w:t>
      </w:r>
      <w:r w:rsidR="00C32D51">
        <w:rPr>
          <w:rStyle w:val="FootnoteReference"/>
        </w:rPr>
        <w:footnoteReference w:id="4"/>
      </w:r>
      <w:r>
        <w:t>: traders from the Portuguese island of São Tomé were trading captives from Benin by 1510, often to sell further along the West African coast in Elmina for gold, which was then shipped to Europe.</w:t>
      </w:r>
    </w:p>
    <w:p w:rsidR="00AE2E1E" w:rsidRDefault="00AE2E1E" w:rsidP="00ED5C02">
      <w:pPr>
        <w:pStyle w:val="NormalWeb"/>
        <w:spacing w:line="480" w:lineRule="auto"/>
        <w:ind w:firstLine="720"/>
        <w:contextualSpacing/>
        <w:jc w:val="both"/>
      </w:pPr>
      <w:r>
        <w:t xml:space="preserve">Nevertheless the slave trade in Benin at this time was very different from that in other parts of Atlantic Africa such as </w:t>
      </w:r>
      <w:proofErr w:type="spellStart"/>
      <w:r>
        <w:t>Kongo</w:t>
      </w:r>
      <w:proofErr w:type="spellEnd"/>
      <w:r>
        <w:t xml:space="preserve"> and Senegambia. The </w:t>
      </w:r>
      <w:proofErr w:type="spellStart"/>
      <w:r>
        <w:t>Obas</w:t>
      </w:r>
      <w:proofErr w:type="spellEnd"/>
      <w:r>
        <w:t xml:space="preserve"> of Benin were unwilling to sell men from the kingdom, who were vital for warfare and were in any case seen as “slaves of the king”. As early as 1516, according to Ryder, the Oba of Benin had established separate markets for male and female slaves; restrictions on the sale of male slaves developed by 1530 into a total embargo on the Atlantic slave trade which persisted more or less until 1700.</w:t>
      </w:r>
      <w:r w:rsidR="00A77484">
        <w:rPr>
          <w:rStyle w:val="FootnoteReference"/>
        </w:rPr>
        <w:footnoteReference w:id="5"/>
      </w:r>
      <w:r>
        <w:t xml:space="preserve"> </w:t>
      </w:r>
      <w:r w:rsidR="00ED5C02">
        <w:t>By the end of the 1530s, both Portuguese missionaries and traders had concluded that the profits to be found here were not what they had hoped or required.</w:t>
      </w:r>
      <w:r w:rsidR="00ED5C02">
        <w:rPr>
          <w:rStyle w:val="FootnoteReference"/>
        </w:rPr>
        <w:footnoteReference w:id="6"/>
      </w:r>
      <w:r w:rsidR="00ED5C02">
        <w:t xml:space="preserve"> </w:t>
      </w:r>
      <w:r>
        <w:t xml:space="preserve">Benin therefore offers a striking </w:t>
      </w:r>
      <w:r>
        <w:lastRenderedPageBreak/>
        <w:t>example of a West African kingdom which strongly resisted the demands of European slave traders and instead traded with the wider world through local cloth production.</w:t>
      </w:r>
    </w:p>
    <w:p w:rsidR="00B942FD" w:rsidRDefault="00B942FD" w:rsidP="00ED5C02">
      <w:pPr>
        <w:pStyle w:val="NormalWeb"/>
        <w:spacing w:line="480" w:lineRule="auto"/>
        <w:ind w:firstLine="720"/>
        <w:contextualSpacing/>
        <w:jc w:val="both"/>
      </w:pPr>
      <w:r>
        <w:t>In this context of a powerful, autonomous West African kingdom, it is noteworthy that the place of laws</w:t>
      </w:r>
      <w:r w:rsidR="00D80082">
        <w:t xml:space="preserve"> regulating consumption and production</w:t>
      </w:r>
      <w:r>
        <w:t xml:space="preserve"> was </w:t>
      </w:r>
      <w:r w:rsidR="00601086">
        <w:t>describ</w:t>
      </w:r>
      <w:r>
        <w:t>ed very early by European observers of the kingdom.</w:t>
      </w:r>
      <w:r w:rsidR="00FA5307">
        <w:t xml:space="preserve"> Moreover, as the art historian Kathleen Bickford </w:t>
      </w:r>
      <w:proofErr w:type="spellStart"/>
      <w:r w:rsidR="00FA5307">
        <w:t>Berzock</w:t>
      </w:r>
      <w:proofErr w:type="spellEnd"/>
      <w:r w:rsidR="00FA5307">
        <w:t xml:space="preserve"> points out, these laws were vital in controlling two of the major mediums used for manifestations of royal power, brass and coral.</w:t>
      </w:r>
      <w:r w:rsidR="00FA5307">
        <w:rPr>
          <w:rStyle w:val="FootnoteReference"/>
        </w:rPr>
        <w:footnoteReference w:id="7"/>
      </w:r>
      <w:r w:rsidR="00FA5307">
        <w:t xml:space="preserve"> In the case of brass, this was one of the most important imports brought by the Portuguese during the 16</w:t>
      </w:r>
      <w:r w:rsidR="00FA5307" w:rsidRPr="00FA5307">
        <w:rPr>
          <w:vertAlign w:val="superscript"/>
        </w:rPr>
        <w:t>th</w:t>
      </w:r>
      <w:r w:rsidR="00FA5307">
        <w:t xml:space="preserve"> century, where large amounts of </w:t>
      </w:r>
      <w:proofErr w:type="spellStart"/>
      <w:r w:rsidR="00FA5307">
        <w:t>manillas</w:t>
      </w:r>
      <w:proofErr w:type="spellEnd"/>
      <w:r w:rsidR="00FA5307">
        <w:t xml:space="preserve"> (</w:t>
      </w:r>
      <w:proofErr w:type="spellStart"/>
      <w:r w:rsidR="00FA5307">
        <w:t>armrings</w:t>
      </w:r>
      <w:proofErr w:type="spellEnd"/>
      <w:r w:rsidR="00FA5307">
        <w:t>) made of the metal were imported and melted down; much of this molten metal was then reused by brass-casters in forging the famous Benin Bronzes, many of which can be observed today in the British Museum.</w:t>
      </w:r>
      <w:r w:rsidR="00FA5307">
        <w:rPr>
          <w:rStyle w:val="FootnoteReference"/>
        </w:rPr>
        <w:footnoteReference w:id="8"/>
      </w:r>
      <w:r w:rsidR="00F47CBF">
        <w:t xml:space="preserve"> However access to this brass was controlled by the Oba, and was strictly limited to the castes of brass casters (</w:t>
      </w:r>
      <w:proofErr w:type="spellStart"/>
      <w:r w:rsidR="00F47CBF">
        <w:rPr>
          <w:i/>
        </w:rPr>
        <w:t>Igun</w:t>
      </w:r>
      <w:proofErr w:type="spellEnd"/>
      <w:r w:rsidR="00F47CBF">
        <w:rPr>
          <w:i/>
        </w:rPr>
        <w:t xml:space="preserve"> </w:t>
      </w:r>
      <w:proofErr w:type="spellStart"/>
      <w:r w:rsidR="00F47CBF">
        <w:rPr>
          <w:i/>
        </w:rPr>
        <w:t>Eronmwon</w:t>
      </w:r>
      <w:proofErr w:type="spellEnd"/>
      <w:r w:rsidR="00F47CBF">
        <w:t xml:space="preserve">) who were the highest-ranking court guild in Edo. As the volumes of the metal available increased, so too did the prestige of the guild, and the attempts to control the use of the metal by the </w:t>
      </w:r>
      <w:proofErr w:type="spellStart"/>
      <w:r w:rsidR="00F47CBF">
        <w:t>Obas</w:t>
      </w:r>
      <w:proofErr w:type="spellEnd"/>
      <w:r w:rsidR="00384107">
        <w:t xml:space="preserve">, as all royal artists belonged to hereditary guilds within the </w:t>
      </w:r>
      <w:proofErr w:type="spellStart"/>
      <w:r w:rsidR="00384107">
        <w:t>Iwebo</w:t>
      </w:r>
      <w:proofErr w:type="spellEnd"/>
      <w:r w:rsidR="00384107">
        <w:t xml:space="preserve"> palace society.</w:t>
      </w:r>
      <w:r w:rsidR="00915EB6">
        <w:rPr>
          <w:rStyle w:val="FootnoteReference"/>
        </w:rPr>
        <w:footnoteReference w:id="9"/>
      </w:r>
    </w:p>
    <w:p w:rsidR="00274395" w:rsidRDefault="00274395" w:rsidP="00ED5C02">
      <w:pPr>
        <w:pStyle w:val="NormalWeb"/>
        <w:spacing w:line="480" w:lineRule="auto"/>
        <w:ind w:firstLine="720"/>
        <w:contextualSpacing/>
        <w:jc w:val="both"/>
      </w:pPr>
      <w:r>
        <w:t>The case of coral was also important, for it was a key marker of nobility in Benin</w:t>
      </w:r>
      <w:r w:rsidR="006B3CF3">
        <w:t>, and remained so for many centuries</w:t>
      </w:r>
      <w:r>
        <w:t>.</w:t>
      </w:r>
      <w:r w:rsidR="00274E57">
        <w:t xml:space="preserve"> The Dutch sailor Willem Bosman noted in a book published in 1705 how in Benin, nobility was designated by “a String of Coral [which]…they are obliged to wear continually about their Necks”.</w:t>
      </w:r>
      <w:r w:rsidR="00274E57">
        <w:rPr>
          <w:rStyle w:val="FootnoteReference"/>
        </w:rPr>
        <w:footnoteReference w:id="10"/>
      </w:r>
      <w:r w:rsidR="00274E57">
        <w:t xml:space="preserve"> </w:t>
      </w:r>
      <w:r w:rsidR="00465299">
        <w:t xml:space="preserve">Another Dutch traveller, </w:t>
      </w:r>
      <w:proofErr w:type="spellStart"/>
      <w:r w:rsidR="00465299">
        <w:t>Nyendael</w:t>
      </w:r>
      <w:proofErr w:type="spellEnd"/>
      <w:r w:rsidR="00465299">
        <w:t xml:space="preserve">, visiting in 1702, </w:t>
      </w:r>
      <w:r w:rsidR="00465299">
        <w:lastRenderedPageBreak/>
        <w:t>described how two nobles who had lost or broken chains of coral had been killed for the offence.</w:t>
      </w:r>
      <w:r w:rsidR="00990863">
        <w:rPr>
          <w:rStyle w:val="FootnoteReference"/>
        </w:rPr>
        <w:footnoteReference w:id="11"/>
      </w:r>
      <w:r w:rsidR="00465299">
        <w:t xml:space="preserve"> </w:t>
      </w:r>
      <w:r w:rsidR="00743D79">
        <w:t>One 1786 description of the Royal Council of Benin described how the “Council consisted of sixty ‘big men’, who wore round the neck, on the wrists and on the ankles their double strings of coral”.</w:t>
      </w:r>
      <w:r w:rsidR="00743D79">
        <w:rPr>
          <w:rStyle w:val="FootnoteReference"/>
        </w:rPr>
        <w:footnoteReference w:id="12"/>
      </w:r>
      <w:r w:rsidR="00743D79">
        <w:t xml:space="preserve"> The importance of this co</w:t>
      </w:r>
      <w:r w:rsidR="00274E57">
        <w:t>ral as a token of nobility, and the hierarchy within the kingdom, was expressed through the fact that “the King keeps these Corals in his own Possession; and the Counterfeiting or having any of them in Possession without his Grant, is punished with Death”.</w:t>
      </w:r>
      <w:r w:rsidR="00274E57">
        <w:rPr>
          <w:rStyle w:val="FootnoteReference"/>
        </w:rPr>
        <w:footnoteReference w:id="13"/>
      </w:r>
      <w:r w:rsidR="00D80082">
        <w:t xml:space="preserve"> Thus it is clear that there was strict royal regulation of access to these necklaces, as</w:t>
      </w:r>
      <w:r w:rsidR="007F1F66">
        <w:t xml:space="preserve"> who could wear them was a core</w:t>
      </w:r>
      <w:r w:rsidR="00D80082">
        <w:t xml:space="preserve"> sign of political power and social prestige.</w:t>
      </w:r>
    </w:p>
    <w:p w:rsidR="006B3CF3" w:rsidRDefault="006B3CF3" w:rsidP="006B3CF3">
      <w:pPr>
        <w:pStyle w:val="NormalWeb"/>
        <w:spacing w:line="480" w:lineRule="auto"/>
        <w:ind w:firstLine="720"/>
        <w:contextualSpacing/>
        <w:jc w:val="both"/>
      </w:pPr>
      <w:r>
        <w:t xml:space="preserve">The place of coral within the manifestation of royal power had long been important in Benin. The archaeologist </w:t>
      </w:r>
      <w:proofErr w:type="spellStart"/>
      <w:r>
        <w:t>Akinwumi</w:t>
      </w:r>
      <w:proofErr w:type="spellEnd"/>
      <w:r>
        <w:t xml:space="preserve"> </w:t>
      </w:r>
      <w:proofErr w:type="spellStart"/>
      <w:r>
        <w:t>Ogundiran</w:t>
      </w:r>
      <w:proofErr w:type="spellEnd"/>
      <w:r>
        <w:t xml:space="preserve"> suggests that it was related to the longstanding interest in Benin and also in </w:t>
      </w:r>
      <w:proofErr w:type="spellStart"/>
      <w:r>
        <w:t>Yorubà</w:t>
      </w:r>
      <w:proofErr w:type="spellEnd"/>
      <w:r>
        <w:t xml:space="preserve"> kingdoms for the firing of </w:t>
      </w:r>
      <w:r w:rsidR="001F23A2">
        <w:t xml:space="preserve">glass </w:t>
      </w:r>
      <w:r>
        <w:t>beads of many different colours as insignias of power, dating he suggests to at least 1000CE.</w:t>
      </w:r>
      <w:r>
        <w:rPr>
          <w:rStyle w:val="FootnoteReference"/>
        </w:rPr>
        <w:footnoteReference w:id="14"/>
      </w:r>
      <w:r>
        <w:t xml:space="preserve"> And long before Bosman was writing, in around 1604, the German traveller Andreas </w:t>
      </w:r>
      <w:proofErr w:type="spellStart"/>
      <w:r>
        <w:t>Ulsheimer</w:t>
      </w:r>
      <w:proofErr w:type="spellEnd"/>
      <w:r>
        <w:t xml:space="preserve"> gave a vivid description of the place of corals in affirming royal power in Benin. At the annua</w:t>
      </w:r>
      <w:r w:rsidR="00C04878">
        <w:t>l</w:t>
      </w:r>
      <w:r>
        <w:t xml:space="preserve"> royal festivities at Edo, which </w:t>
      </w:r>
      <w:proofErr w:type="spellStart"/>
      <w:r>
        <w:t>Ulsheimer</w:t>
      </w:r>
      <w:proofErr w:type="spellEnd"/>
      <w:r>
        <w:t xml:space="preserve"> witnessed, the Oba appeared “riding out into the town on a horse decorated with red scarlet and draped with red corals. He sits side-saddle on it…imposingly dressed after their fashion in red scarlet cloth [</w:t>
      </w:r>
      <w:proofErr w:type="spellStart"/>
      <w:r>
        <w:rPr>
          <w:i/>
        </w:rPr>
        <w:t>ododo</w:t>
      </w:r>
      <w:proofErr w:type="spellEnd"/>
      <w:r>
        <w:t>] and draped not only with fine red corals but also with other strange things”.</w:t>
      </w:r>
      <w:r>
        <w:rPr>
          <w:rStyle w:val="FootnoteReference"/>
        </w:rPr>
        <w:footnoteReference w:id="15"/>
      </w:r>
    </w:p>
    <w:p w:rsidR="000A1FB2" w:rsidRDefault="000A1FB2" w:rsidP="006B3CF3">
      <w:pPr>
        <w:pStyle w:val="NormalWeb"/>
        <w:spacing w:line="480" w:lineRule="auto"/>
        <w:ind w:firstLine="720"/>
        <w:contextualSpacing/>
        <w:jc w:val="both"/>
      </w:pPr>
      <w:r>
        <w:t>In Benin, it was crucial that royal power was both a temporal and a religious experience. In the 15</w:t>
      </w:r>
      <w:r w:rsidRPr="000A1FB2">
        <w:rPr>
          <w:vertAlign w:val="superscript"/>
        </w:rPr>
        <w:t>th</w:t>
      </w:r>
      <w:r>
        <w:t xml:space="preserve"> century, before the arrival of the Portuguese, the </w:t>
      </w:r>
      <w:proofErr w:type="spellStart"/>
      <w:r>
        <w:t>Obas</w:t>
      </w:r>
      <w:proofErr w:type="spellEnd"/>
      <w:r>
        <w:t xml:space="preserve"> had renewed religious shrines </w:t>
      </w:r>
      <w:r>
        <w:lastRenderedPageBreak/>
        <w:t>as part of the kingdom’s expansion</w:t>
      </w:r>
      <w:r w:rsidR="00FC5FD3">
        <w:t xml:space="preserve">, and this strengthened the kingdom in the face of external influences from the Atlantic. The adoption of coral as a symbol of royal power was merely an adaption of existing frameworks. Royal power however was accentuated through the control which the </w:t>
      </w:r>
      <w:proofErr w:type="spellStart"/>
      <w:r w:rsidR="00FC5FD3">
        <w:t>Obas</w:t>
      </w:r>
      <w:proofErr w:type="spellEnd"/>
      <w:r w:rsidR="00FC5FD3">
        <w:t xml:space="preserve"> were able to exert over the import of coral, which alongside the increasing number of bronze plaques which lined the palace walls were manifestations of the history and power of the kingdom. Through control of who could and could not display the tokens of nobility and refashion history through the bronze plaques, the </w:t>
      </w:r>
      <w:proofErr w:type="spellStart"/>
      <w:r w:rsidR="00FC5FD3">
        <w:t>Obaship</w:t>
      </w:r>
      <w:proofErr w:type="spellEnd"/>
      <w:r w:rsidR="00FC5FD3">
        <w:t xml:space="preserve"> gained in power.</w:t>
      </w:r>
    </w:p>
    <w:p w:rsidR="00E07BF8" w:rsidRDefault="00E07BF8" w:rsidP="006B3CF3">
      <w:pPr>
        <w:pStyle w:val="NormalWeb"/>
        <w:spacing w:line="480" w:lineRule="auto"/>
        <w:ind w:firstLine="720"/>
        <w:contextualSpacing/>
        <w:jc w:val="both"/>
      </w:pPr>
      <w:r>
        <w:t xml:space="preserve">The evolution of </w:t>
      </w:r>
      <w:r w:rsidR="00D80082">
        <w:t>these</w:t>
      </w:r>
      <w:r>
        <w:t xml:space="preserve"> laws</w:t>
      </w:r>
      <w:r w:rsidR="00D80082">
        <w:t xml:space="preserve"> of consumption and display</w:t>
      </w:r>
      <w:r>
        <w:t xml:space="preserve"> in the kingdom in the 16</w:t>
      </w:r>
      <w:r w:rsidRPr="00E07BF8">
        <w:rPr>
          <w:vertAlign w:val="superscript"/>
        </w:rPr>
        <w:t>th</w:t>
      </w:r>
      <w:r>
        <w:t xml:space="preserve"> and 17</w:t>
      </w:r>
      <w:r w:rsidRPr="00E07BF8">
        <w:rPr>
          <w:vertAlign w:val="superscript"/>
        </w:rPr>
        <w:t>th</w:t>
      </w:r>
      <w:r>
        <w:t xml:space="preserve"> centuries is therefore important. </w:t>
      </w:r>
      <w:r w:rsidR="00D80082">
        <w:t xml:space="preserve">They may well have grown out of very old laws regulating access to the Oba, and the relationship between the Oba and his subjects. </w:t>
      </w:r>
      <w:r>
        <w:t xml:space="preserve">Early </w:t>
      </w:r>
      <w:r w:rsidR="00D80082">
        <w:t xml:space="preserve">outside </w:t>
      </w:r>
      <w:r>
        <w:t xml:space="preserve">observers noted that there were strict taboos over the death of </w:t>
      </w:r>
      <w:proofErr w:type="spellStart"/>
      <w:r>
        <w:t>Obas</w:t>
      </w:r>
      <w:proofErr w:type="spellEnd"/>
      <w:r>
        <w:t xml:space="preserve"> and the ability of subjects of the kingdom to interact with them.</w:t>
      </w:r>
      <w:r w:rsidR="00743D79">
        <w:t xml:space="preserve"> An (in</w:t>
      </w:r>
      <w:proofErr w:type="gramStart"/>
      <w:r w:rsidR="00743D79">
        <w:t>)famous</w:t>
      </w:r>
      <w:proofErr w:type="gramEnd"/>
      <w:r w:rsidR="00743D79">
        <w:t xml:space="preserve"> story recounted in around 1550 by a Portuguese pilot who knew the coast well held that when the Oba died, his subjects accompanied the body into the grave, and were then covered with a large rock, where they died one by one and accompanied the Oba into the life to come.</w:t>
      </w:r>
      <w:r w:rsidR="00743D79">
        <w:rPr>
          <w:rStyle w:val="FootnoteReference"/>
        </w:rPr>
        <w:footnoteReference w:id="16"/>
      </w:r>
      <w:r w:rsidR="00743D79">
        <w:t xml:space="preserve"> Meanwhile, in Benin’s relationship with the religious centre of Yorubaland at Ife there were also important laws of separation observed: the Benin ambassador to Ife never saw the king (Oni), just some silk curtains which he sat behind, and when the ambassador took his leave a foot would appear from behind the curtains in symbol of departure greeting.</w:t>
      </w:r>
      <w:r w:rsidR="00743D79">
        <w:rPr>
          <w:rStyle w:val="FootnoteReference"/>
        </w:rPr>
        <w:footnoteReference w:id="17"/>
      </w:r>
    </w:p>
    <w:p w:rsidR="00102169" w:rsidRDefault="008137F8" w:rsidP="006B3CF3">
      <w:pPr>
        <w:pStyle w:val="NormalWeb"/>
        <w:spacing w:line="480" w:lineRule="auto"/>
        <w:ind w:firstLine="720"/>
        <w:contextualSpacing/>
        <w:jc w:val="both"/>
      </w:pPr>
      <w:r>
        <w:t xml:space="preserve">In these accounts of taboos and prescriptions, the relationships of the king of Benin to the nobility is very important. </w:t>
      </w:r>
      <w:r w:rsidR="00BE3EF9">
        <w:t xml:space="preserve">The king controlled trade in coral and then distributed it to his nobility, who would wear it in council meetings as a symbol of their authority. Consumption, too, was constrained, and not only in </w:t>
      </w:r>
      <w:r>
        <w:t xml:space="preserve">Benin, but </w:t>
      </w:r>
      <w:r w:rsidR="00BE3EF9">
        <w:t>also</w:t>
      </w:r>
      <w:r>
        <w:t xml:space="preserve"> in other kingdoms along the West African </w:t>
      </w:r>
      <w:r>
        <w:lastRenderedPageBreak/>
        <w:t xml:space="preserve">coast. </w:t>
      </w:r>
      <w:r w:rsidR="00BE3EF9">
        <w:t xml:space="preserve">One visitor in 1604 described how in the Gold Coast kingdom of </w:t>
      </w:r>
      <w:proofErr w:type="spellStart"/>
      <w:r w:rsidR="00BE3EF9">
        <w:t>Fetu</w:t>
      </w:r>
      <w:proofErr w:type="spellEnd"/>
      <w:r w:rsidR="00BE3EF9">
        <w:t>, once the king had drunk, the nobles took the drinking vessel from him and finished off the contents.</w:t>
      </w:r>
      <w:r w:rsidR="00BE3EF9">
        <w:rPr>
          <w:rStyle w:val="FootnoteReference"/>
        </w:rPr>
        <w:footnoteReference w:id="18"/>
      </w:r>
      <w:r w:rsidR="00896BCF">
        <w:t xml:space="preserve"> Perhaps most importantly, the sight of the king itself was a privilege and a rarity; the Oba would allow himself to be seen by the general population just once a year, where he entered in the manner described above by </w:t>
      </w:r>
      <w:proofErr w:type="spellStart"/>
      <w:r w:rsidR="00896BCF">
        <w:t>Ulsheimer</w:t>
      </w:r>
      <w:proofErr w:type="spellEnd"/>
      <w:r w:rsidR="00896BCF">
        <w:t>, but for the rest of the year</w:t>
      </w:r>
      <w:r w:rsidR="001A0FE1">
        <w:t>, as two Capuchin missionaries described it in around 1651,</w:t>
      </w:r>
      <w:r w:rsidR="00896BCF">
        <w:t xml:space="preserve"> he kept himself secluded in his palace, just as the Oni of Ife kept his distance from the ambassadors of the Oba as seen above.</w:t>
      </w:r>
      <w:r w:rsidR="00896BCF">
        <w:rPr>
          <w:rStyle w:val="FootnoteReference"/>
        </w:rPr>
        <w:footnoteReference w:id="19"/>
      </w:r>
    </w:p>
    <w:p w:rsidR="00FB32F5" w:rsidRDefault="00FB32F5" w:rsidP="006B3CF3">
      <w:pPr>
        <w:pStyle w:val="NormalWeb"/>
        <w:spacing w:line="480" w:lineRule="auto"/>
        <w:ind w:firstLine="720"/>
        <w:contextualSpacing/>
        <w:jc w:val="both"/>
      </w:pPr>
      <w:r>
        <w:t>Distance, secrecy, representation through visual bronze reproductions, and the power of royal apparel were thus integral to the performance of majesty in Benin in the 16</w:t>
      </w:r>
      <w:r w:rsidRPr="00FB32F5">
        <w:rPr>
          <w:vertAlign w:val="superscript"/>
        </w:rPr>
        <w:t>th</w:t>
      </w:r>
      <w:r>
        <w:t xml:space="preserve"> and 17</w:t>
      </w:r>
      <w:r w:rsidRPr="00FB32F5">
        <w:rPr>
          <w:vertAlign w:val="superscript"/>
        </w:rPr>
        <w:t>th</w:t>
      </w:r>
      <w:r>
        <w:t xml:space="preserve"> centuries. </w:t>
      </w:r>
      <w:r w:rsidR="00D87963">
        <w:t xml:space="preserve">Shoring up this semi-divine power required the redistribution of some of the trappings of power among the nobility and control </w:t>
      </w:r>
      <w:r>
        <w:t>trade as this grew with the Atlantic dimension</w:t>
      </w:r>
      <w:r w:rsidR="00D87963">
        <w:t>, so as to regulate</w:t>
      </w:r>
      <w:r w:rsidR="00280238">
        <w:t xml:space="preserve"> access to vital materials such as bronze and coral accordingly. The Dutch geographer </w:t>
      </w:r>
      <w:proofErr w:type="spellStart"/>
      <w:r w:rsidR="00280238">
        <w:t>Olfert</w:t>
      </w:r>
      <w:proofErr w:type="spellEnd"/>
      <w:r w:rsidR="00280238">
        <w:t xml:space="preserve"> Dapper, who compiled reports from travellers around 1670, wrote that even clothing was circumscribed</w:t>
      </w:r>
      <w:r w:rsidR="00FC1DA0">
        <w:t>,</w:t>
      </w:r>
      <w:r w:rsidR="00280238">
        <w:t xml:space="preserve"> as no one was allowed to go clothed in the Court without royal approval</w:t>
      </w:r>
      <w:r w:rsidR="00FC1DA0">
        <w:t>, and there were many members of the Benin nobility “who go stark naked, without any sign of shame, only with a Chain of fine Coral or Jasper around their Necks”.</w:t>
      </w:r>
      <w:r w:rsidR="00FC1DA0">
        <w:rPr>
          <w:rStyle w:val="FootnoteReference"/>
        </w:rPr>
        <w:footnoteReference w:id="20"/>
      </w:r>
      <w:r w:rsidR="00665DB7">
        <w:t xml:space="preserve"> Three royal officials acted as intermediaries between the Oba and the people, and anyone wanting to apply to the Oba had to go through them.</w:t>
      </w:r>
      <w:r w:rsidR="00665DB7">
        <w:rPr>
          <w:rStyle w:val="FootnoteReference"/>
        </w:rPr>
        <w:footnoteReference w:id="21"/>
      </w:r>
    </w:p>
    <w:p w:rsidR="00D80082" w:rsidRDefault="00A84978" w:rsidP="006B3CF3">
      <w:pPr>
        <w:pStyle w:val="NormalWeb"/>
        <w:spacing w:line="480" w:lineRule="auto"/>
        <w:ind w:firstLine="720"/>
        <w:contextualSpacing/>
        <w:jc w:val="both"/>
      </w:pPr>
      <w:r>
        <w:t xml:space="preserve">The mention of nudity here is significant, for in tandem with other sources it suggests that there was strict regulation of dress by the Oba (as the laws relating to coral would suggest). A striking passage in Mary Kingsley’s </w:t>
      </w:r>
      <w:r>
        <w:rPr>
          <w:i/>
        </w:rPr>
        <w:t xml:space="preserve">Travels in West Africa </w:t>
      </w:r>
      <w:r>
        <w:t xml:space="preserve">is noteworthy here. Writing of the secret societies among Yoruba peoples (to whom Benin was related, as noted here through </w:t>
      </w:r>
      <w:r>
        <w:lastRenderedPageBreak/>
        <w:t>Ife), she writes that “among some of [them], the boy has to remain under the rule of the presiding elders of the [secret] society, painted white, and wearing only a bit of grass cloth, if he wears anything” until his initiation is complete.</w:t>
      </w:r>
      <w:r>
        <w:rPr>
          <w:rStyle w:val="FootnoteReference"/>
        </w:rPr>
        <w:footnoteReference w:id="22"/>
      </w:r>
      <w:r w:rsidR="001E560E">
        <w:t xml:space="preserve"> While this </w:t>
      </w:r>
      <w:r w:rsidR="00D86F83">
        <w:t xml:space="preserve">account of Kingsley’s </w:t>
      </w:r>
      <w:r w:rsidR="001E560E">
        <w:t>is significantly later, the rules regarding dress and secret societies were clearly strict, and this nudity</w:t>
      </w:r>
      <w:r w:rsidR="00B645AF" w:rsidRPr="00B645AF">
        <w:t xml:space="preserve"> </w:t>
      </w:r>
      <w:r w:rsidR="00B645AF">
        <w:t>certainly</w:t>
      </w:r>
      <w:r w:rsidR="001E560E">
        <w:t xml:space="preserve"> represents these nobles’ subordination to the Oba (their elder) and his control over their attire. In many </w:t>
      </w:r>
      <w:proofErr w:type="spellStart"/>
      <w:r w:rsidR="001E560E">
        <w:t>Yorub</w:t>
      </w:r>
      <w:r w:rsidR="00B645AF">
        <w:t>à</w:t>
      </w:r>
      <w:proofErr w:type="spellEnd"/>
      <w:r w:rsidR="001E560E">
        <w:t xml:space="preserve"> societies, nobility as also shown through the wearing of </w:t>
      </w:r>
      <w:proofErr w:type="spellStart"/>
      <w:r w:rsidR="001E560E">
        <w:rPr>
          <w:i/>
        </w:rPr>
        <w:t>agbadas</w:t>
      </w:r>
      <w:proofErr w:type="spellEnd"/>
      <w:r w:rsidR="001E560E">
        <w:t>, to which again access was strictly regulated, revealing the importance of regulation of consumption then at work in this part of West Africa.</w:t>
      </w:r>
    </w:p>
    <w:p w:rsidR="00C16F97" w:rsidRDefault="00C16F97" w:rsidP="006B3CF3">
      <w:pPr>
        <w:pStyle w:val="NormalWeb"/>
        <w:spacing w:line="480" w:lineRule="auto"/>
        <w:ind w:firstLine="720"/>
        <w:contextualSpacing/>
        <w:jc w:val="both"/>
      </w:pPr>
      <w:r>
        <w:t>Written evidence on Benin for the precolonial period is somewhat patchy, but the overall picture is unambiguous. Royal power was maintained through a combination of the growth of state power – expanding military and administrative apparatus, control over trade – and the manifestation of this power. The ways in which royal power was performed to the population annually at the Royal fes</w:t>
      </w:r>
      <w:r w:rsidR="00D80082">
        <w:t>tivals required strict</w:t>
      </w:r>
      <w:r>
        <w:t xml:space="preserve"> laws to regulate access to the core insignia of the nobility</w:t>
      </w:r>
      <w:r w:rsidR="00B645AF">
        <w:t xml:space="preserve"> in terms of coral and clothing</w:t>
      </w:r>
      <w:r w:rsidR="00D80082">
        <w:t xml:space="preserve">. The growth of an </w:t>
      </w:r>
      <w:proofErr w:type="spellStart"/>
      <w:r w:rsidR="00D80082">
        <w:t>authochtonous</w:t>
      </w:r>
      <w:proofErr w:type="spellEnd"/>
      <w:r w:rsidR="00D80082">
        <w:t xml:space="preserve"> history as narrated through the bronze plaques at the palace also required increased brass imports and control over their distribution. While these were not sumptuary laws in terms of regulating wh</w:t>
      </w:r>
      <w:r w:rsidR="00A90A2F">
        <w:t>at could be spent by whom, the</w:t>
      </w:r>
      <w:r w:rsidR="00D80082">
        <w:t xml:space="preserve"> social impact </w:t>
      </w:r>
      <w:r w:rsidR="00A90A2F">
        <w:t xml:space="preserve">of this strict regulation </w:t>
      </w:r>
      <w:r w:rsidR="00D80082">
        <w:t>was rather similar</w:t>
      </w:r>
      <w:r>
        <w:t xml:space="preserve">. Control over consumption and distribution of prestige goods was a core element of </w:t>
      </w:r>
      <w:proofErr w:type="spellStart"/>
      <w:r w:rsidR="00373CC9">
        <w:t>Oba</w:t>
      </w:r>
      <w:r>
        <w:t>ship</w:t>
      </w:r>
      <w:proofErr w:type="spellEnd"/>
      <w:r>
        <w:t xml:space="preserve"> in Benin, as the kingdom evolved from the late 15</w:t>
      </w:r>
      <w:r w:rsidRPr="00C16F97">
        <w:rPr>
          <w:vertAlign w:val="superscript"/>
        </w:rPr>
        <w:t>th</w:t>
      </w:r>
      <w:r>
        <w:t xml:space="preserve"> to the 18</w:t>
      </w:r>
      <w:r w:rsidRPr="00C16F97">
        <w:rPr>
          <w:vertAlign w:val="superscript"/>
        </w:rPr>
        <w:t>th</w:t>
      </w:r>
      <w:r>
        <w:t xml:space="preserve"> centuries.</w:t>
      </w:r>
    </w:p>
    <w:p w:rsidR="00557578" w:rsidRDefault="00557578" w:rsidP="0090141A">
      <w:pPr>
        <w:pStyle w:val="NormalWeb"/>
        <w:spacing w:line="480" w:lineRule="auto"/>
        <w:contextualSpacing/>
        <w:jc w:val="both"/>
        <w:rPr>
          <w:b/>
          <w:i/>
        </w:rPr>
      </w:pPr>
    </w:p>
    <w:p w:rsidR="0090141A" w:rsidRDefault="00905C1A" w:rsidP="0090141A">
      <w:pPr>
        <w:pStyle w:val="NormalWeb"/>
        <w:spacing w:line="480" w:lineRule="auto"/>
        <w:contextualSpacing/>
        <w:jc w:val="both"/>
        <w:rPr>
          <w:b/>
          <w:i/>
        </w:rPr>
      </w:pPr>
      <w:proofErr w:type="spellStart"/>
      <w:r>
        <w:rPr>
          <w:b/>
          <w:i/>
        </w:rPr>
        <w:t>Dahomey</w:t>
      </w:r>
      <w:proofErr w:type="spellEnd"/>
      <w:r>
        <w:rPr>
          <w:b/>
          <w:i/>
        </w:rPr>
        <w:t xml:space="preserve">: </w:t>
      </w:r>
      <w:r w:rsidR="00390362">
        <w:rPr>
          <w:b/>
          <w:i/>
        </w:rPr>
        <w:t xml:space="preserve">The Performance of </w:t>
      </w:r>
      <w:r>
        <w:rPr>
          <w:b/>
          <w:i/>
        </w:rPr>
        <w:t>Power in the 18</w:t>
      </w:r>
      <w:r w:rsidRPr="00905C1A">
        <w:rPr>
          <w:b/>
          <w:i/>
          <w:vertAlign w:val="superscript"/>
        </w:rPr>
        <w:t>th</w:t>
      </w:r>
      <w:r>
        <w:rPr>
          <w:b/>
          <w:i/>
        </w:rPr>
        <w:t xml:space="preserve"> Century</w:t>
      </w:r>
    </w:p>
    <w:p w:rsidR="0090141A" w:rsidRDefault="0090141A" w:rsidP="0090141A">
      <w:pPr>
        <w:pStyle w:val="NormalWeb"/>
        <w:spacing w:line="480" w:lineRule="auto"/>
        <w:contextualSpacing/>
        <w:jc w:val="both"/>
      </w:pPr>
      <w:r>
        <w:t>One of the most powerful states in West Africa in the 18</w:t>
      </w:r>
      <w:r w:rsidRPr="0090141A">
        <w:rPr>
          <w:vertAlign w:val="superscript"/>
        </w:rPr>
        <w:t>th</w:t>
      </w:r>
      <w:r>
        <w:t xml:space="preserve"> and 19</w:t>
      </w:r>
      <w:r w:rsidRPr="0090141A">
        <w:rPr>
          <w:vertAlign w:val="superscript"/>
        </w:rPr>
        <w:t>th</w:t>
      </w:r>
      <w:r>
        <w:t xml:space="preserve"> centuries was </w:t>
      </w:r>
      <w:proofErr w:type="spellStart"/>
      <w:r>
        <w:t>Dahomey</w:t>
      </w:r>
      <w:proofErr w:type="spellEnd"/>
      <w:r>
        <w:t xml:space="preserve">, located in what is now the Republic of Benin. </w:t>
      </w:r>
      <w:proofErr w:type="spellStart"/>
      <w:r>
        <w:t>Dahomey</w:t>
      </w:r>
      <w:proofErr w:type="spellEnd"/>
      <w:r>
        <w:t xml:space="preserve"> was a relatively new polity</w:t>
      </w:r>
      <w:proofErr w:type="gramStart"/>
      <w:r>
        <w:t xml:space="preserve">, </w:t>
      </w:r>
      <w:r w:rsidR="002D6403">
        <w:t xml:space="preserve"> </w:t>
      </w:r>
      <w:r>
        <w:lastRenderedPageBreak/>
        <w:t>supplanting</w:t>
      </w:r>
      <w:proofErr w:type="gramEnd"/>
      <w:r>
        <w:t xml:space="preserve"> the nearby kingdoms of </w:t>
      </w:r>
      <w:proofErr w:type="spellStart"/>
      <w:r>
        <w:t>Allada</w:t>
      </w:r>
      <w:proofErr w:type="spellEnd"/>
      <w:r>
        <w:t xml:space="preserve"> and </w:t>
      </w:r>
      <w:proofErr w:type="spellStart"/>
      <w:r>
        <w:t>Hueda</w:t>
      </w:r>
      <w:proofErr w:type="spellEnd"/>
      <w:r>
        <w:t xml:space="preserve"> in the 1720s; thereafter it became a major participant in the trans-Atlantic trade in enslaved persons, through its port at </w:t>
      </w:r>
      <w:proofErr w:type="spellStart"/>
      <w:r>
        <w:t>Ouidah</w:t>
      </w:r>
      <w:proofErr w:type="spellEnd"/>
      <w:r>
        <w:t xml:space="preserve">. However, though having supplanted </w:t>
      </w:r>
      <w:proofErr w:type="spellStart"/>
      <w:r>
        <w:t>Allada</w:t>
      </w:r>
      <w:proofErr w:type="spellEnd"/>
      <w:r>
        <w:t xml:space="preserve">, </w:t>
      </w:r>
      <w:proofErr w:type="spellStart"/>
      <w:r>
        <w:t>Dahomey</w:t>
      </w:r>
      <w:proofErr w:type="spellEnd"/>
      <w:r>
        <w:t xml:space="preserve"> borrowed idioms of political power through cults of the royal ancestors, and indeed its kings claimed to be heirs to the </w:t>
      </w:r>
      <w:proofErr w:type="spellStart"/>
      <w:r>
        <w:t>Allada</w:t>
      </w:r>
      <w:proofErr w:type="spellEnd"/>
      <w:r>
        <w:t xml:space="preserve"> monarchy.</w:t>
      </w:r>
      <w:r>
        <w:rPr>
          <w:rStyle w:val="FootnoteReference"/>
        </w:rPr>
        <w:footnoteReference w:id="23"/>
      </w:r>
    </w:p>
    <w:p w:rsidR="00043FBC" w:rsidRDefault="00E97554" w:rsidP="00043FBC">
      <w:pPr>
        <w:pStyle w:val="NormalWeb"/>
        <w:spacing w:line="480" w:lineRule="auto"/>
        <w:contextualSpacing/>
        <w:jc w:val="both"/>
        <w:rPr>
          <w:rStyle w:val="FootnoteReference"/>
        </w:rPr>
      </w:pPr>
      <w:r>
        <w:tab/>
        <w:t>During the 17</w:t>
      </w:r>
      <w:r w:rsidRPr="000A22BD">
        <w:rPr>
          <w:vertAlign w:val="superscript"/>
        </w:rPr>
        <w:t>th</w:t>
      </w:r>
      <w:r w:rsidR="008151AF">
        <w:t xml:space="preserve"> century, the most powerful</w:t>
      </w:r>
      <w:r>
        <w:t xml:space="preserve"> kingdom in the region had been that of </w:t>
      </w:r>
      <w:proofErr w:type="spellStart"/>
      <w:r>
        <w:t>Allada</w:t>
      </w:r>
      <w:proofErr w:type="spellEnd"/>
      <w:r>
        <w:t xml:space="preserve">, a kingdom of </w:t>
      </w:r>
      <w:proofErr w:type="spellStart"/>
      <w:r>
        <w:t>Ajá</w:t>
      </w:r>
      <w:proofErr w:type="spellEnd"/>
      <w:r>
        <w:t xml:space="preserve"> people who had also borrowed many Yoruba traditions. </w:t>
      </w:r>
      <w:proofErr w:type="spellStart"/>
      <w:r>
        <w:t>Allada</w:t>
      </w:r>
      <w:proofErr w:type="spellEnd"/>
      <w:r>
        <w:t xml:space="preserve"> was a major trading partner of Europeans, selling cloth, ivory, and enslaved Africans to Dutch, French and Portuguese traders. Atlantic trade in </w:t>
      </w:r>
      <w:proofErr w:type="spellStart"/>
      <w:r>
        <w:t>Allada</w:t>
      </w:r>
      <w:proofErr w:type="spellEnd"/>
      <w:r>
        <w:t xml:space="preserve"> was underway by the 1580s, and there was heavy connection to the Portuguese settlement on the island of São Tomé in the Gulf of Guinea. By the 1660s, however, </w:t>
      </w:r>
      <w:proofErr w:type="spellStart"/>
      <w:r>
        <w:t>Allada</w:t>
      </w:r>
      <w:proofErr w:type="spellEnd"/>
      <w:r>
        <w:t xml:space="preserve"> was weakening as the growth of trade saw the king of </w:t>
      </w:r>
      <w:proofErr w:type="spellStart"/>
      <w:r>
        <w:t>Hueda</w:t>
      </w:r>
      <w:proofErr w:type="spellEnd"/>
      <w:r>
        <w:t xml:space="preserve"> (Whydah) becoming more powerful. The king of </w:t>
      </w:r>
      <w:proofErr w:type="spellStart"/>
      <w:r>
        <w:t>Allada</w:t>
      </w:r>
      <w:proofErr w:type="spellEnd"/>
      <w:r>
        <w:t xml:space="preserve"> sent embassies to Spain in 1658 and France in 1670, but to no avail. In the early 1680s European traders moved their forts to </w:t>
      </w:r>
      <w:proofErr w:type="spellStart"/>
      <w:r>
        <w:t>Hueda</w:t>
      </w:r>
      <w:proofErr w:type="spellEnd"/>
      <w:r>
        <w:t xml:space="preserve">: the Dutch in 1682, the English in 1683, and the </w:t>
      </w:r>
      <w:proofErr w:type="spellStart"/>
      <w:r>
        <w:t>Brandenburgers</w:t>
      </w:r>
      <w:proofErr w:type="spellEnd"/>
      <w:r>
        <w:t xml:space="preserve"> in 1684. </w:t>
      </w:r>
      <w:proofErr w:type="spellStart"/>
      <w:r>
        <w:t>Dahomey</w:t>
      </w:r>
      <w:proofErr w:type="spellEnd"/>
      <w:r>
        <w:t xml:space="preserve">, meanwhile, was still a small kingdom, having been founded between 1620 and 1650. But when the Europeans signed a 6-clause convention with Whydah in 1704, recognising it as an international neutral port, and Whydah’s internal strength then began to weaken, </w:t>
      </w:r>
      <w:proofErr w:type="spellStart"/>
      <w:r>
        <w:t>Agaja</w:t>
      </w:r>
      <w:proofErr w:type="spellEnd"/>
      <w:r>
        <w:t xml:space="preserve">, king of </w:t>
      </w:r>
      <w:proofErr w:type="spellStart"/>
      <w:r>
        <w:t>Dahomey</w:t>
      </w:r>
      <w:proofErr w:type="spellEnd"/>
      <w:r>
        <w:t xml:space="preserve"> seized his chance; under his leadership, </w:t>
      </w:r>
      <w:proofErr w:type="spellStart"/>
      <w:r>
        <w:t>Dahomey</w:t>
      </w:r>
      <w:proofErr w:type="spellEnd"/>
      <w:r>
        <w:t xml:space="preserve"> conquered </w:t>
      </w:r>
      <w:proofErr w:type="spellStart"/>
      <w:r>
        <w:t>Allada</w:t>
      </w:r>
      <w:proofErr w:type="spellEnd"/>
      <w:r>
        <w:t xml:space="preserve"> in 1724 and Whydah in 1727, becoming at once the most powerful kingdom in the region.</w:t>
      </w:r>
      <w:r w:rsidRPr="00E97554">
        <w:rPr>
          <w:rStyle w:val="FootnoteReference"/>
        </w:rPr>
        <w:t xml:space="preserve"> </w:t>
      </w:r>
      <w:r>
        <w:rPr>
          <w:rStyle w:val="FootnoteReference"/>
        </w:rPr>
        <w:footnoteReference w:id="24"/>
      </w:r>
    </w:p>
    <w:p w:rsidR="00043FBC" w:rsidRDefault="0090141A" w:rsidP="00043FBC">
      <w:pPr>
        <w:pStyle w:val="NormalWeb"/>
        <w:spacing w:line="480" w:lineRule="auto"/>
        <w:contextualSpacing/>
        <w:jc w:val="both"/>
      </w:pPr>
      <w:r w:rsidRPr="00570A41">
        <w:tab/>
      </w:r>
      <w:r w:rsidR="00570A41">
        <w:t xml:space="preserve">Once in the political ascendancy, </w:t>
      </w:r>
      <w:proofErr w:type="spellStart"/>
      <w:r w:rsidR="006F4F8B" w:rsidRPr="00570A41">
        <w:t>Dahomey</w:t>
      </w:r>
      <w:proofErr w:type="spellEnd"/>
      <w:r w:rsidR="006F4F8B" w:rsidRPr="00570A41">
        <w:t xml:space="preserve"> maintained extensive political connections to its neighbours</w:t>
      </w:r>
      <w:r w:rsidR="00570A41">
        <w:t>, as of course di</w:t>
      </w:r>
      <w:r w:rsidR="0058287E">
        <w:t>d many other West Afri</w:t>
      </w:r>
      <w:r w:rsidR="00570A41">
        <w:t>can kingdoms in this era</w:t>
      </w:r>
      <w:r w:rsidR="006F4F8B" w:rsidRPr="00570A41">
        <w:t>. From 1730 until the early 19</w:t>
      </w:r>
      <w:r w:rsidR="006F4F8B" w:rsidRPr="00570A41">
        <w:rPr>
          <w:vertAlign w:val="superscript"/>
        </w:rPr>
        <w:t>th</w:t>
      </w:r>
      <w:r w:rsidR="006F4F8B" w:rsidRPr="00570A41">
        <w:t xml:space="preserve"> century, it was a tributary of the </w:t>
      </w:r>
      <w:proofErr w:type="spellStart"/>
      <w:r w:rsidR="006F4F8B" w:rsidRPr="00570A41">
        <w:t>Yorubà</w:t>
      </w:r>
      <w:proofErr w:type="spellEnd"/>
      <w:r w:rsidR="006F4F8B" w:rsidRPr="00570A41">
        <w:t xml:space="preserve"> kingdom of Oyo (l</w:t>
      </w:r>
      <w:r w:rsidR="00321ED1">
        <w:t>o</w:t>
      </w:r>
      <w:r w:rsidR="006F4F8B" w:rsidRPr="00570A41">
        <w:t xml:space="preserve">cated in what is now southern Nigeria), and indeed borrowed several </w:t>
      </w:r>
      <w:r w:rsidR="001F364D" w:rsidRPr="00570A41">
        <w:t xml:space="preserve">administrative structures from Oyo, </w:t>
      </w:r>
      <w:r w:rsidR="001F364D" w:rsidRPr="00570A41">
        <w:lastRenderedPageBreak/>
        <w:t xml:space="preserve">including the royal slaves known as </w:t>
      </w:r>
      <w:proofErr w:type="spellStart"/>
      <w:r w:rsidR="001F364D" w:rsidRPr="00570A41">
        <w:rPr>
          <w:i/>
        </w:rPr>
        <w:t>Ilari</w:t>
      </w:r>
      <w:proofErr w:type="spellEnd"/>
      <w:r w:rsidR="001F364D" w:rsidRPr="00570A41">
        <w:t xml:space="preserve">. In the context of this chapter, it is also significant that </w:t>
      </w:r>
      <w:proofErr w:type="spellStart"/>
      <w:r w:rsidR="001F364D" w:rsidRPr="00570A41">
        <w:t>Dahomey</w:t>
      </w:r>
      <w:proofErr w:type="spellEnd"/>
      <w:r w:rsidR="001F364D" w:rsidRPr="00570A41">
        <w:t xml:space="preserve"> had strong connections with Benin, and indeed in 1799 sent ambassadors to the Oba at Edo to see if he would cooperate in a joint attack on the Dutch at the fortress of Elmina on the Gold Coast.</w:t>
      </w:r>
      <w:r w:rsidR="001F364D" w:rsidRPr="00570A41">
        <w:rPr>
          <w:rStyle w:val="FootnoteReference"/>
        </w:rPr>
        <w:footnoteReference w:id="25"/>
      </w:r>
      <w:r w:rsidR="00F54EB3" w:rsidRPr="00570A41">
        <w:t xml:space="preserve"> </w:t>
      </w:r>
      <w:r w:rsidR="006B765B">
        <w:t xml:space="preserve">The official charged with dealing with the Europeans, the </w:t>
      </w:r>
      <w:proofErr w:type="spellStart"/>
      <w:r w:rsidR="006B765B" w:rsidRPr="006B765B">
        <w:rPr>
          <w:i/>
        </w:rPr>
        <w:t>Yovogan</w:t>
      </w:r>
      <w:proofErr w:type="spellEnd"/>
      <w:r w:rsidR="006B765B">
        <w:t>, wore necklaces of coral, which also suggests strong connections to Benin (as we have seen).</w:t>
      </w:r>
      <w:r w:rsidR="006B765B">
        <w:rPr>
          <w:rStyle w:val="FootnoteReference"/>
        </w:rPr>
        <w:footnoteReference w:id="26"/>
      </w:r>
      <w:r w:rsidR="006B765B">
        <w:t xml:space="preserve"> </w:t>
      </w:r>
      <w:r w:rsidR="00F54EB3" w:rsidRPr="00570A41">
        <w:t xml:space="preserve">These interconnections formed part of what the historian IA </w:t>
      </w:r>
      <w:proofErr w:type="spellStart"/>
      <w:r w:rsidR="00F54EB3" w:rsidRPr="00570A41">
        <w:t>Akinjogbin</w:t>
      </w:r>
      <w:proofErr w:type="spellEnd"/>
      <w:r w:rsidR="00F54EB3" w:rsidRPr="00570A41">
        <w:t xml:space="preserve"> described as the “Yoruba-</w:t>
      </w:r>
      <w:proofErr w:type="spellStart"/>
      <w:r w:rsidR="00F54EB3" w:rsidRPr="00570A41">
        <w:t>Ajà</w:t>
      </w:r>
      <w:proofErr w:type="spellEnd"/>
      <w:r w:rsidR="00F54EB3" w:rsidRPr="00570A41">
        <w:t xml:space="preserve"> commonwealth” – peoples with a shared history dating back to the 14</w:t>
      </w:r>
      <w:r w:rsidR="00F54EB3" w:rsidRPr="00570A41">
        <w:rPr>
          <w:vertAlign w:val="superscript"/>
        </w:rPr>
        <w:t>th</w:t>
      </w:r>
      <w:r w:rsidR="00F54EB3" w:rsidRPr="00570A41">
        <w:t xml:space="preserve"> century – and thus the reciprocal cultural, economic and political influence were an important part of life in the region throughout the precolonial period.</w:t>
      </w:r>
      <w:r w:rsidR="0066261E" w:rsidRPr="00570A41">
        <w:rPr>
          <w:rStyle w:val="FootnoteReference"/>
        </w:rPr>
        <w:footnoteReference w:id="27"/>
      </w:r>
    </w:p>
    <w:p w:rsidR="00D87963" w:rsidRDefault="00770624" w:rsidP="00043FBC">
      <w:pPr>
        <w:pStyle w:val="NormalWeb"/>
        <w:spacing w:line="480" w:lineRule="auto"/>
        <w:contextualSpacing/>
        <w:jc w:val="both"/>
      </w:pPr>
      <w:r>
        <w:tab/>
        <w:t xml:space="preserve">In this context, it is not surprising to see a shared approach towards the authority of the king and the construction of a separate and semi-mythic figure in the person of the king in </w:t>
      </w:r>
      <w:proofErr w:type="spellStart"/>
      <w:r>
        <w:t>Dahomey</w:t>
      </w:r>
      <w:proofErr w:type="spellEnd"/>
      <w:r>
        <w:t xml:space="preserve">, much as had already emerged in Benin even before </w:t>
      </w:r>
      <w:proofErr w:type="spellStart"/>
      <w:r>
        <w:t>Dahomey</w:t>
      </w:r>
      <w:proofErr w:type="spellEnd"/>
      <w:r>
        <w:t xml:space="preserve"> arose as a kingdom in the 17</w:t>
      </w:r>
      <w:r w:rsidRPr="00770624">
        <w:rPr>
          <w:vertAlign w:val="superscript"/>
        </w:rPr>
        <w:t>th</w:t>
      </w:r>
      <w:r>
        <w:t xml:space="preserve"> century. </w:t>
      </w:r>
      <w:r w:rsidR="00F37962">
        <w:t xml:space="preserve">Indeed, these characteristics were also apparent in </w:t>
      </w:r>
      <w:proofErr w:type="spellStart"/>
      <w:r w:rsidR="00F37962">
        <w:t>Dahomey</w:t>
      </w:r>
      <w:r w:rsidR="008151AF">
        <w:t>’s</w:t>
      </w:r>
      <w:proofErr w:type="spellEnd"/>
      <w:r w:rsidR="00F37962">
        <w:t xml:space="preserve"> immediate predecessor, </w:t>
      </w:r>
      <w:proofErr w:type="spellStart"/>
      <w:r w:rsidR="00F37962">
        <w:t>Hueda</w:t>
      </w:r>
      <w:proofErr w:type="spellEnd"/>
      <w:r w:rsidR="00F37962">
        <w:t>, in the late 17</w:t>
      </w:r>
      <w:r w:rsidR="00F37962" w:rsidRPr="00F37962">
        <w:rPr>
          <w:vertAlign w:val="superscript"/>
        </w:rPr>
        <w:t>th</w:t>
      </w:r>
      <w:r w:rsidR="00F37962">
        <w:t xml:space="preserve"> century. </w:t>
      </w:r>
      <w:r w:rsidR="00720AC4">
        <w:t xml:space="preserve">Bosman described how “no Man is permitted to see [the King of </w:t>
      </w:r>
      <w:proofErr w:type="spellStart"/>
      <w:r w:rsidR="00720AC4">
        <w:t>Hueda</w:t>
      </w:r>
      <w:proofErr w:type="spellEnd"/>
      <w:r w:rsidR="00720AC4">
        <w:t>] eat”,</w:t>
      </w:r>
      <w:r w:rsidR="00720AC4">
        <w:rPr>
          <w:rStyle w:val="FootnoteReference"/>
        </w:rPr>
        <w:footnoteReference w:id="28"/>
      </w:r>
      <w:r w:rsidR="00720AC4">
        <w:t xml:space="preserve"> while o</w:t>
      </w:r>
      <w:r w:rsidR="00F37962">
        <w:t>ne visitor from the Brandenburg Chartered Company, in 1793, described a similar situation of awe before the monarch as had pertained in Benin:</w:t>
      </w:r>
    </w:p>
    <w:p w:rsidR="00F37962" w:rsidRDefault="00F37962" w:rsidP="00F37962">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King] receives his dignitaries…sitting on the throne. At a distance of 20 paces from this throne they throw themselves down, kiss the ground and clap their hands, continuing to do so until a sign is given from the throne for them to approach. Thereupon they creep up to the steps of the throne on all fours and remain in a kneeling position there during the [audience].”</w:t>
      </w:r>
      <w:r>
        <w:rPr>
          <w:rStyle w:val="FootnoteReference"/>
          <w:rFonts w:ascii="Times New Roman" w:hAnsi="Times New Roman" w:cs="Times New Roman"/>
          <w:sz w:val="24"/>
        </w:rPr>
        <w:footnoteReference w:id="29"/>
      </w:r>
    </w:p>
    <w:p w:rsidR="00200CB2" w:rsidRDefault="00200CB2" w:rsidP="00200CB2">
      <w:pPr>
        <w:spacing w:line="480" w:lineRule="auto"/>
        <w:ind w:left="720"/>
        <w:contextualSpacing/>
        <w:jc w:val="both"/>
        <w:rPr>
          <w:rFonts w:ascii="Times New Roman" w:hAnsi="Times New Roman" w:cs="Times New Roman"/>
          <w:sz w:val="24"/>
        </w:rPr>
      </w:pPr>
    </w:p>
    <w:p w:rsidR="00F74C2F" w:rsidRDefault="00CB4F5F" w:rsidP="00200CB2">
      <w:pPr>
        <w:spacing w:line="480" w:lineRule="auto"/>
        <w:ind w:left="720"/>
        <w:contextualSpacing/>
        <w:jc w:val="both"/>
        <w:rPr>
          <w:rFonts w:ascii="Times New Roman" w:hAnsi="Times New Roman" w:cs="Times New Roman"/>
          <w:sz w:val="24"/>
        </w:rPr>
      </w:pPr>
      <w:r>
        <w:rPr>
          <w:rFonts w:ascii="Times New Roman" w:hAnsi="Times New Roman" w:cs="Times New Roman"/>
          <w:sz w:val="24"/>
        </w:rPr>
        <w:t xml:space="preserve">This </w:t>
      </w:r>
      <w:r w:rsidR="00F74C2F">
        <w:rPr>
          <w:rFonts w:ascii="Times New Roman" w:hAnsi="Times New Roman" w:cs="Times New Roman"/>
          <w:sz w:val="24"/>
        </w:rPr>
        <w:t xml:space="preserve">pattern of prostration before the monarch was, as the historian Robin </w:t>
      </w:r>
      <w:proofErr w:type="gramStart"/>
      <w:r w:rsidR="00F74C2F">
        <w:rPr>
          <w:rFonts w:ascii="Times New Roman" w:hAnsi="Times New Roman" w:cs="Times New Roman"/>
          <w:sz w:val="24"/>
        </w:rPr>
        <w:t>Law  points</w:t>
      </w:r>
      <w:proofErr w:type="gramEnd"/>
      <w:r w:rsidR="00F74C2F">
        <w:rPr>
          <w:rFonts w:ascii="Times New Roman" w:hAnsi="Times New Roman" w:cs="Times New Roman"/>
          <w:sz w:val="24"/>
        </w:rPr>
        <w:t xml:space="preserve"> </w:t>
      </w:r>
    </w:p>
    <w:p w:rsidR="00200CB2" w:rsidRDefault="00F74C2F" w:rsidP="00F74C2F">
      <w:pPr>
        <w:spacing w:line="480" w:lineRule="auto"/>
        <w:contextualSpacing/>
        <w:jc w:val="both"/>
        <w:rPr>
          <w:rFonts w:ascii="Times New Roman" w:hAnsi="Times New Roman" w:cs="Times New Roman"/>
          <w:sz w:val="24"/>
        </w:rPr>
      </w:pPr>
      <w:proofErr w:type="gramStart"/>
      <w:r>
        <w:rPr>
          <w:rFonts w:ascii="Times New Roman" w:hAnsi="Times New Roman" w:cs="Times New Roman"/>
          <w:sz w:val="24"/>
        </w:rPr>
        <w:lastRenderedPageBreak/>
        <w:t>out</w:t>
      </w:r>
      <w:proofErr w:type="gramEnd"/>
      <w:r>
        <w:rPr>
          <w:rFonts w:ascii="Times New Roman" w:hAnsi="Times New Roman" w:cs="Times New Roman"/>
          <w:sz w:val="24"/>
        </w:rPr>
        <w:t xml:space="preserve">, also shared by the successor state of </w:t>
      </w:r>
      <w:proofErr w:type="spellStart"/>
      <w:r>
        <w:rPr>
          <w:rFonts w:ascii="Times New Roman" w:hAnsi="Times New Roman" w:cs="Times New Roman"/>
          <w:sz w:val="24"/>
        </w:rPr>
        <w:t>Daho</w:t>
      </w:r>
      <w:r w:rsidR="00B37C43">
        <w:rPr>
          <w:rFonts w:ascii="Times New Roman" w:hAnsi="Times New Roman" w:cs="Times New Roman"/>
          <w:sz w:val="24"/>
        </w:rPr>
        <w:t>mey</w:t>
      </w:r>
      <w:proofErr w:type="spellEnd"/>
      <w:r w:rsidR="00B37C43">
        <w:rPr>
          <w:rFonts w:ascii="Times New Roman" w:hAnsi="Times New Roman" w:cs="Times New Roman"/>
          <w:sz w:val="24"/>
        </w:rPr>
        <w:t>, a</w:t>
      </w:r>
      <w:r>
        <w:rPr>
          <w:rFonts w:ascii="Times New Roman" w:hAnsi="Times New Roman" w:cs="Times New Roman"/>
          <w:sz w:val="24"/>
        </w:rPr>
        <w:t>nd conveys well the sense of awe and separation cultivated by monarchs along this part of the West African coast by the later 17</w:t>
      </w:r>
      <w:r w:rsidRPr="00F74C2F">
        <w:rPr>
          <w:rFonts w:ascii="Times New Roman" w:hAnsi="Times New Roman" w:cs="Times New Roman"/>
          <w:sz w:val="24"/>
          <w:vertAlign w:val="superscript"/>
        </w:rPr>
        <w:t>th</w:t>
      </w:r>
      <w:r>
        <w:rPr>
          <w:rFonts w:ascii="Times New Roman" w:hAnsi="Times New Roman" w:cs="Times New Roman"/>
          <w:sz w:val="24"/>
        </w:rPr>
        <w:t xml:space="preserve"> and into the 18</w:t>
      </w:r>
      <w:r w:rsidRPr="00F74C2F">
        <w:rPr>
          <w:rFonts w:ascii="Times New Roman" w:hAnsi="Times New Roman" w:cs="Times New Roman"/>
          <w:sz w:val="24"/>
          <w:vertAlign w:val="superscript"/>
        </w:rPr>
        <w:t>th</w:t>
      </w:r>
      <w:r>
        <w:rPr>
          <w:rFonts w:ascii="Times New Roman" w:hAnsi="Times New Roman" w:cs="Times New Roman"/>
          <w:sz w:val="24"/>
        </w:rPr>
        <w:t xml:space="preserve"> century.</w:t>
      </w:r>
      <w:r w:rsidR="00720AC4">
        <w:rPr>
          <w:rFonts w:ascii="Times New Roman" w:hAnsi="Times New Roman" w:cs="Times New Roman"/>
          <w:sz w:val="24"/>
        </w:rPr>
        <w:t xml:space="preserve"> </w:t>
      </w:r>
      <w:r w:rsidR="00723159">
        <w:rPr>
          <w:rFonts w:ascii="Times New Roman" w:hAnsi="Times New Roman" w:cs="Times New Roman"/>
          <w:sz w:val="24"/>
        </w:rPr>
        <w:t xml:space="preserve">Moreover, just as in Benin, annual royal festivities saw the enactment of this semi-mystical power by the king, which was attended by representatives of the European chartered companies with trading posts at the port of </w:t>
      </w:r>
      <w:proofErr w:type="spellStart"/>
      <w:r w:rsidR="00723159">
        <w:rPr>
          <w:rFonts w:ascii="Times New Roman" w:hAnsi="Times New Roman" w:cs="Times New Roman"/>
          <w:sz w:val="24"/>
        </w:rPr>
        <w:t>Ouidah</w:t>
      </w:r>
      <w:proofErr w:type="spellEnd"/>
      <w:r w:rsidR="00723159">
        <w:rPr>
          <w:rFonts w:ascii="Times New Roman" w:hAnsi="Times New Roman" w:cs="Times New Roman"/>
          <w:sz w:val="24"/>
        </w:rPr>
        <w:t>.</w:t>
      </w:r>
    </w:p>
    <w:p w:rsidR="0065145B" w:rsidRDefault="004676AB" w:rsidP="004676AB">
      <w:pPr>
        <w:spacing w:line="480" w:lineRule="auto"/>
        <w:contextualSpacing/>
        <w:jc w:val="both"/>
        <w:rPr>
          <w:rFonts w:ascii="Times New Roman" w:hAnsi="Times New Roman" w:cs="Times New Roman"/>
          <w:sz w:val="24"/>
        </w:rPr>
      </w:pPr>
      <w:r>
        <w:rPr>
          <w:rFonts w:ascii="Times New Roman" w:hAnsi="Times New Roman" w:cs="Times New Roman"/>
          <w:sz w:val="24"/>
        </w:rPr>
        <w:tab/>
        <w:t xml:space="preserve">A good description of these annual festivities was given by the English Trader Robert Norris, in a book published in 1789. Norris described how, on the last day of the annual customs, “a large stage is erected near one of the palace gates, adorned with flags and umbrellas, and surrounded with a fence of thorns, to keep off the rabble; on this are piled heaps of </w:t>
      </w:r>
      <w:proofErr w:type="spellStart"/>
      <w:r>
        <w:rPr>
          <w:rFonts w:ascii="Times New Roman" w:hAnsi="Times New Roman" w:cs="Times New Roman"/>
          <w:sz w:val="24"/>
        </w:rPr>
        <w:t>silesias</w:t>
      </w:r>
      <w:proofErr w:type="spellEnd"/>
      <w:r>
        <w:rPr>
          <w:rFonts w:ascii="Times New Roman" w:hAnsi="Times New Roman" w:cs="Times New Roman"/>
          <w:sz w:val="24"/>
        </w:rPr>
        <w:t xml:space="preserve">, checks, </w:t>
      </w:r>
      <w:proofErr w:type="spellStart"/>
      <w:r>
        <w:rPr>
          <w:rFonts w:ascii="Times New Roman" w:hAnsi="Times New Roman" w:cs="Times New Roman"/>
          <w:sz w:val="24"/>
        </w:rPr>
        <w:t>callicoes</w:t>
      </w:r>
      <w:proofErr w:type="spellEnd"/>
      <w:r>
        <w:rPr>
          <w:rFonts w:ascii="Times New Roman" w:hAnsi="Times New Roman" w:cs="Times New Roman"/>
          <w:sz w:val="24"/>
        </w:rPr>
        <w:t xml:space="preserve">, and a variety of other European and Indian goods; a great many fine cotton cloths that are manufactured in the </w:t>
      </w:r>
      <w:proofErr w:type="spellStart"/>
      <w:r>
        <w:rPr>
          <w:rFonts w:ascii="Times New Roman" w:hAnsi="Times New Roman" w:cs="Times New Roman"/>
          <w:i/>
          <w:sz w:val="24"/>
        </w:rPr>
        <w:t>Eyo</w:t>
      </w:r>
      <w:proofErr w:type="spellEnd"/>
      <w:r>
        <w:rPr>
          <w:rFonts w:ascii="Times New Roman" w:hAnsi="Times New Roman" w:cs="Times New Roman"/>
          <w:sz w:val="24"/>
        </w:rPr>
        <w:t xml:space="preserve"> [Oyo] country; and a prodigious quantity of cowries”; significantly, it was for the king to disburse the cloths to his nobility and to the ship captains, while the cowries (the major form of money used in </w:t>
      </w:r>
      <w:proofErr w:type="spellStart"/>
      <w:r>
        <w:rPr>
          <w:rFonts w:ascii="Times New Roman" w:hAnsi="Times New Roman" w:cs="Times New Roman"/>
          <w:sz w:val="24"/>
        </w:rPr>
        <w:t>Dahomey</w:t>
      </w:r>
      <w:proofErr w:type="spellEnd"/>
      <w:r>
        <w:rPr>
          <w:rFonts w:ascii="Times New Roman" w:hAnsi="Times New Roman" w:cs="Times New Roman"/>
          <w:sz w:val="24"/>
        </w:rPr>
        <w:t>) was thrown to the crowd.</w:t>
      </w:r>
      <w:r>
        <w:rPr>
          <w:rStyle w:val="FootnoteReference"/>
          <w:rFonts w:ascii="Times New Roman" w:hAnsi="Times New Roman" w:cs="Times New Roman"/>
          <w:sz w:val="24"/>
        </w:rPr>
        <w:footnoteReference w:id="30"/>
      </w:r>
      <w:r>
        <w:rPr>
          <w:rFonts w:ascii="Times New Roman" w:hAnsi="Times New Roman" w:cs="Times New Roman"/>
          <w:sz w:val="24"/>
        </w:rPr>
        <w:t xml:space="preserve"> </w:t>
      </w:r>
    </w:p>
    <w:p w:rsidR="004676AB" w:rsidRDefault="004676AB" w:rsidP="0065145B">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other words, the use and display of those luxury imported goods was regulated by the king, and it was in this which the display and performance of power lay; </w:t>
      </w:r>
      <w:r w:rsidR="005A7A32">
        <w:rPr>
          <w:rFonts w:ascii="Times New Roman" w:hAnsi="Times New Roman" w:cs="Times New Roman"/>
          <w:sz w:val="24"/>
        </w:rPr>
        <w:t xml:space="preserve">cowrie </w:t>
      </w:r>
      <w:r>
        <w:rPr>
          <w:rFonts w:ascii="Times New Roman" w:hAnsi="Times New Roman" w:cs="Times New Roman"/>
          <w:sz w:val="24"/>
        </w:rPr>
        <w:t>money itself was useful, and was accessible to all, but it could not supplant the true manifestation of nobility, which lay in access to these luxury imported goods.</w:t>
      </w:r>
      <w:r w:rsidR="0065145B">
        <w:rPr>
          <w:rFonts w:ascii="Times New Roman" w:hAnsi="Times New Roman" w:cs="Times New Roman"/>
          <w:sz w:val="24"/>
        </w:rPr>
        <w:t xml:space="preserve"> This description also suggests strict regulation of the wearing of particular cloths (in this case those from Oyo), and this was something also implied elsewhere by Norris, when he described </w:t>
      </w:r>
      <w:r w:rsidR="00010C39">
        <w:rPr>
          <w:rFonts w:ascii="Times New Roman" w:hAnsi="Times New Roman" w:cs="Times New Roman"/>
          <w:sz w:val="24"/>
        </w:rPr>
        <w:t xml:space="preserve">a </w:t>
      </w:r>
      <w:r w:rsidR="0065145B">
        <w:rPr>
          <w:rFonts w:ascii="Times New Roman" w:hAnsi="Times New Roman" w:cs="Times New Roman"/>
          <w:sz w:val="24"/>
        </w:rPr>
        <w:t xml:space="preserve">standard dress among commoners in </w:t>
      </w:r>
      <w:proofErr w:type="spellStart"/>
      <w:r w:rsidR="0065145B">
        <w:rPr>
          <w:rFonts w:ascii="Times New Roman" w:hAnsi="Times New Roman" w:cs="Times New Roman"/>
          <w:sz w:val="24"/>
        </w:rPr>
        <w:t>Dahomey</w:t>
      </w:r>
      <w:proofErr w:type="spellEnd"/>
      <w:r w:rsidR="0065145B">
        <w:rPr>
          <w:rFonts w:ascii="Times New Roman" w:hAnsi="Times New Roman" w:cs="Times New Roman"/>
          <w:sz w:val="24"/>
        </w:rPr>
        <w:t>, where “country dress…consists of a pair of wide drawers, and a piece of cloth about three yards long, and two broad, worn loosely around the body”.</w:t>
      </w:r>
      <w:r w:rsidR="0065145B">
        <w:rPr>
          <w:rStyle w:val="FootnoteReference"/>
          <w:rFonts w:ascii="Times New Roman" w:hAnsi="Times New Roman" w:cs="Times New Roman"/>
          <w:sz w:val="24"/>
        </w:rPr>
        <w:footnoteReference w:id="31"/>
      </w:r>
    </w:p>
    <w:p w:rsidR="00E336D7" w:rsidRDefault="00E336D7" w:rsidP="00F74C2F">
      <w:pPr>
        <w:spacing w:line="48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As in Benin, one of the methods by which the King of </w:t>
      </w:r>
      <w:proofErr w:type="spellStart"/>
      <w:r>
        <w:rPr>
          <w:rFonts w:ascii="Times New Roman" w:hAnsi="Times New Roman" w:cs="Times New Roman"/>
          <w:sz w:val="24"/>
        </w:rPr>
        <w:t>Dahomey</w:t>
      </w:r>
      <w:proofErr w:type="spellEnd"/>
      <w:r>
        <w:rPr>
          <w:rFonts w:ascii="Times New Roman" w:hAnsi="Times New Roman" w:cs="Times New Roman"/>
          <w:sz w:val="24"/>
        </w:rPr>
        <w:t xml:space="preserve"> retained control over these manifestations of power was through absolute authority over imports into the kingdom. </w:t>
      </w:r>
      <w:r w:rsidR="00E62CAB">
        <w:rPr>
          <w:rFonts w:ascii="Times New Roman" w:hAnsi="Times New Roman" w:cs="Times New Roman"/>
          <w:sz w:val="24"/>
        </w:rPr>
        <w:t>As noted above</w:t>
      </w:r>
      <w:r>
        <w:rPr>
          <w:rFonts w:ascii="Times New Roman" w:hAnsi="Times New Roman" w:cs="Times New Roman"/>
          <w:sz w:val="24"/>
        </w:rPr>
        <w:t xml:space="preserve">, the </w:t>
      </w:r>
      <w:proofErr w:type="spellStart"/>
      <w:r>
        <w:rPr>
          <w:rFonts w:ascii="Times New Roman" w:hAnsi="Times New Roman" w:cs="Times New Roman"/>
          <w:i/>
          <w:sz w:val="24"/>
        </w:rPr>
        <w:t>Yovogan</w:t>
      </w:r>
      <w:proofErr w:type="spellEnd"/>
      <w:r>
        <w:rPr>
          <w:rFonts w:ascii="Times New Roman" w:hAnsi="Times New Roman" w:cs="Times New Roman"/>
          <w:sz w:val="24"/>
        </w:rPr>
        <w:t xml:space="preserve">, was charged with managing all European trade there, charging taxes and regulating the import of key goods – contraband gold, Brazilian tobacco, cowries (used as currency in the kingdom) and cloth – in exchange for enslaved persons. A sense of the control which the King exercised over this trade was given by the Brazilian priest, Vicente </w:t>
      </w:r>
      <w:proofErr w:type="spellStart"/>
      <w:r>
        <w:rPr>
          <w:rFonts w:ascii="Times New Roman" w:hAnsi="Times New Roman" w:cs="Times New Roman"/>
          <w:sz w:val="24"/>
        </w:rPr>
        <w:t>Pires</w:t>
      </w:r>
      <w:proofErr w:type="spellEnd"/>
      <w:r>
        <w:rPr>
          <w:rFonts w:ascii="Times New Roman" w:hAnsi="Times New Roman" w:cs="Times New Roman"/>
          <w:sz w:val="24"/>
        </w:rPr>
        <w:t xml:space="preserve">, who described how in 1797 any ship beached at the bar beside the Brazilian fort of </w:t>
      </w:r>
      <w:proofErr w:type="spellStart"/>
      <w:r>
        <w:rPr>
          <w:rFonts w:ascii="Times New Roman" w:hAnsi="Times New Roman" w:cs="Times New Roman"/>
          <w:sz w:val="24"/>
        </w:rPr>
        <w:t>Ajudá</w:t>
      </w:r>
      <w:proofErr w:type="spellEnd"/>
      <w:r>
        <w:rPr>
          <w:rFonts w:ascii="Times New Roman" w:hAnsi="Times New Roman" w:cs="Times New Roman"/>
          <w:sz w:val="24"/>
        </w:rPr>
        <w:t xml:space="preserve"> at </w:t>
      </w:r>
      <w:proofErr w:type="spellStart"/>
      <w:r>
        <w:rPr>
          <w:rFonts w:ascii="Times New Roman" w:hAnsi="Times New Roman" w:cs="Times New Roman"/>
          <w:sz w:val="24"/>
        </w:rPr>
        <w:t>Ouidah</w:t>
      </w:r>
      <w:proofErr w:type="spellEnd"/>
      <w:r>
        <w:rPr>
          <w:rFonts w:ascii="Times New Roman" w:hAnsi="Times New Roman" w:cs="Times New Roman"/>
          <w:sz w:val="24"/>
        </w:rPr>
        <w:t xml:space="preserve"> was seized and all its goods held to be the property of the King of </w:t>
      </w:r>
      <w:proofErr w:type="spellStart"/>
      <w:r>
        <w:rPr>
          <w:rFonts w:ascii="Times New Roman" w:hAnsi="Times New Roman" w:cs="Times New Roman"/>
          <w:sz w:val="24"/>
        </w:rPr>
        <w:t>Dahomey</w:t>
      </w:r>
      <w:proofErr w:type="spellEnd"/>
      <w:r w:rsidR="005D0E30">
        <w:rPr>
          <w:rFonts w:ascii="Times New Roman" w:hAnsi="Times New Roman" w:cs="Times New Roman"/>
          <w:sz w:val="24"/>
        </w:rPr>
        <w:t xml:space="preserve">: no one other than the king was permitted to build a house with more than one storey (such an </w:t>
      </w:r>
      <w:r w:rsidR="00422D2A">
        <w:rPr>
          <w:rFonts w:ascii="Times New Roman" w:hAnsi="Times New Roman" w:cs="Times New Roman"/>
          <w:sz w:val="24"/>
        </w:rPr>
        <w:t>a</w:t>
      </w:r>
      <w:r w:rsidR="005D0E30">
        <w:rPr>
          <w:rFonts w:ascii="Times New Roman" w:hAnsi="Times New Roman" w:cs="Times New Roman"/>
          <w:sz w:val="24"/>
        </w:rPr>
        <w:t>rea existed at his palace at Abomey), and if they did he usually seized it for himself</w:t>
      </w:r>
      <w:r>
        <w:rPr>
          <w:rFonts w:ascii="Times New Roman" w:hAnsi="Times New Roman" w:cs="Times New Roman"/>
          <w:sz w:val="24"/>
        </w:rPr>
        <w:t>.</w:t>
      </w:r>
      <w:r>
        <w:rPr>
          <w:rStyle w:val="FootnoteReference"/>
          <w:rFonts w:ascii="Times New Roman" w:hAnsi="Times New Roman" w:cs="Times New Roman"/>
          <w:sz w:val="24"/>
        </w:rPr>
        <w:footnoteReference w:id="32"/>
      </w:r>
    </w:p>
    <w:p w:rsidR="00F7525F" w:rsidRDefault="00422D2A" w:rsidP="00F74C2F">
      <w:pPr>
        <w:spacing w:line="480" w:lineRule="auto"/>
        <w:contextualSpacing/>
        <w:jc w:val="both"/>
        <w:rPr>
          <w:rFonts w:ascii="Times New Roman" w:hAnsi="Times New Roman" w:cs="Times New Roman"/>
          <w:sz w:val="24"/>
        </w:rPr>
      </w:pPr>
      <w:r>
        <w:rPr>
          <w:rFonts w:ascii="Times New Roman" w:hAnsi="Times New Roman" w:cs="Times New Roman"/>
          <w:sz w:val="24"/>
        </w:rPr>
        <w:tab/>
        <w:t xml:space="preserve">By this time, a complex administration had been developed by the kingdom of </w:t>
      </w:r>
      <w:proofErr w:type="spellStart"/>
      <w:r>
        <w:rPr>
          <w:rFonts w:ascii="Times New Roman" w:hAnsi="Times New Roman" w:cs="Times New Roman"/>
          <w:sz w:val="24"/>
        </w:rPr>
        <w:t>Dahomey</w:t>
      </w:r>
      <w:proofErr w:type="spellEnd"/>
      <w:r>
        <w:rPr>
          <w:rFonts w:ascii="Times New Roman" w:hAnsi="Times New Roman" w:cs="Times New Roman"/>
          <w:sz w:val="24"/>
        </w:rPr>
        <w:t xml:space="preserve">. There were regulated markets in different towns on different days of the week, and a series of officials to deal with international trade, agriculture, and national affairs. The laws of the kingdom made it clear that regulated dress and access to luxury goods were the prerogative of the king: </w:t>
      </w:r>
      <w:r w:rsidR="00E62CAB">
        <w:rPr>
          <w:rFonts w:ascii="Times New Roman" w:hAnsi="Times New Roman" w:cs="Times New Roman"/>
          <w:sz w:val="24"/>
        </w:rPr>
        <w:t xml:space="preserve">the precise regulation of clothing is also shown through the fact that </w:t>
      </w:r>
      <w:r>
        <w:rPr>
          <w:rFonts w:ascii="Times New Roman" w:hAnsi="Times New Roman" w:cs="Times New Roman"/>
          <w:sz w:val="24"/>
        </w:rPr>
        <w:t>only senior heads of lineages were allowed to wear fine hats,</w:t>
      </w:r>
      <w:r w:rsidR="004B3D23">
        <w:rPr>
          <w:rFonts w:ascii="Times New Roman" w:hAnsi="Times New Roman" w:cs="Times New Roman"/>
          <w:sz w:val="24"/>
        </w:rPr>
        <w:t xml:space="preserve"> while</w:t>
      </w:r>
      <w:r>
        <w:rPr>
          <w:rFonts w:ascii="Times New Roman" w:hAnsi="Times New Roman" w:cs="Times New Roman"/>
          <w:sz w:val="24"/>
        </w:rPr>
        <w:t xml:space="preserve"> no one could trade tobacco, rum, or enslaved persons without royal permission, and the king inherited from all his vassals.</w:t>
      </w:r>
      <w:r>
        <w:rPr>
          <w:rStyle w:val="FootnoteReference"/>
          <w:rFonts w:ascii="Times New Roman" w:hAnsi="Times New Roman" w:cs="Times New Roman"/>
          <w:sz w:val="24"/>
        </w:rPr>
        <w:footnoteReference w:id="33"/>
      </w:r>
      <w:r w:rsidR="00F7525F">
        <w:rPr>
          <w:rFonts w:ascii="Times New Roman" w:hAnsi="Times New Roman" w:cs="Times New Roman"/>
          <w:sz w:val="24"/>
        </w:rPr>
        <w:t xml:space="preserve"> </w:t>
      </w:r>
      <w:r w:rsidR="00085987">
        <w:rPr>
          <w:rFonts w:ascii="Times New Roman" w:hAnsi="Times New Roman" w:cs="Times New Roman"/>
          <w:sz w:val="24"/>
        </w:rPr>
        <w:t>Moreover, by the mid-18</w:t>
      </w:r>
      <w:r w:rsidR="00085987" w:rsidRPr="00085987">
        <w:rPr>
          <w:rFonts w:ascii="Times New Roman" w:hAnsi="Times New Roman" w:cs="Times New Roman"/>
          <w:sz w:val="24"/>
          <w:vertAlign w:val="superscript"/>
        </w:rPr>
        <w:t>th</w:t>
      </w:r>
      <w:r w:rsidR="00085987">
        <w:rPr>
          <w:rFonts w:ascii="Times New Roman" w:hAnsi="Times New Roman" w:cs="Times New Roman"/>
          <w:sz w:val="24"/>
        </w:rPr>
        <w:t xml:space="preserve"> century under King </w:t>
      </w:r>
      <w:proofErr w:type="spellStart"/>
      <w:r w:rsidR="00085987">
        <w:rPr>
          <w:rFonts w:ascii="Times New Roman" w:hAnsi="Times New Roman" w:cs="Times New Roman"/>
          <w:sz w:val="24"/>
        </w:rPr>
        <w:t>Tegbesu</w:t>
      </w:r>
      <w:proofErr w:type="spellEnd"/>
      <w:r w:rsidR="00085987">
        <w:rPr>
          <w:rFonts w:ascii="Times New Roman" w:hAnsi="Times New Roman" w:cs="Times New Roman"/>
          <w:sz w:val="24"/>
        </w:rPr>
        <w:t>, if any subject of the kingdom as convicted of a crime, all of his property was forfeited to the king;</w:t>
      </w:r>
      <w:r w:rsidR="00085987">
        <w:rPr>
          <w:rStyle w:val="FootnoteReference"/>
          <w:rFonts w:ascii="Times New Roman" w:hAnsi="Times New Roman" w:cs="Times New Roman"/>
          <w:sz w:val="24"/>
        </w:rPr>
        <w:footnoteReference w:id="34"/>
      </w:r>
      <w:r w:rsidR="00085987">
        <w:rPr>
          <w:rFonts w:ascii="Times New Roman" w:hAnsi="Times New Roman" w:cs="Times New Roman"/>
          <w:sz w:val="24"/>
        </w:rPr>
        <w:t xml:space="preserve"> with legal enslavement on the increase owing to the pressures of Atlantic trade and the incentives offered by merchants in captives, this was another legal avenue to ensure control over the access to and ownership of goods which could be used to manifest nobility and wealth.</w:t>
      </w:r>
    </w:p>
    <w:p w:rsidR="00422D2A" w:rsidRDefault="00011F80" w:rsidP="00F7525F">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One of the implications to emerge from these accounts of the control of trade and the distribution of luxury goods is that clothing was a key marker of nobility, and jealously guarded by the crown. Umbrellas, too, were seen as a sign of status, and could be used only by favoured dignitaries and wives of the king.</w:t>
      </w:r>
      <w:r>
        <w:rPr>
          <w:rStyle w:val="FootnoteReference"/>
          <w:rFonts w:ascii="Times New Roman" w:hAnsi="Times New Roman" w:cs="Times New Roman"/>
          <w:sz w:val="24"/>
        </w:rPr>
        <w:footnoteReference w:id="35"/>
      </w:r>
      <w:r>
        <w:rPr>
          <w:rFonts w:ascii="Times New Roman" w:hAnsi="Times New Roman" w:cs="Times New Roman"/>
          <w:sz w:val="24"/>
        </w:rPr>
        <w:t xml:space="preserve"> </w:t>
      </w:r>
      <w:r w:rsidR="00F7525F">
        <w:rPr>
          <w:rFonts w:ascii="Times New Roman" w:hAnsi="Times New Roman" w:cs="Times New Roman"/>
          <w:sz w:val="24"/>
        </w:rPr>
        <w:t>That acce</w:t>
      </w:r>
      <w:r>
        <w:rPr>
          <w:rFonts w:ascii="Times New Roman" w:hAnsi="Times New Roman" w:cs="Times New Roman"/>
          <w:sz w:val="24"/>
        </w:rPr>
        <w:t xml:space="preserve">ss to fine clothing was </w:t>
      </w:r>
      <w:r w:rsidR="00F7525F">
        <w:rPr>
          <w:rFonts w:ascii="Times New Roman" w:hAnsi="Times New Roman" w:cs="Times New Roman"/>
          <w:sz w:val="24"/>
        </w:rPr>
        <w:t>seen as a prerequisite of nobility in the kingdom is made apparent by the embassies</w:t>
      </w:r>
      <w:r w:rsidR="00E2151E">
        <w:rPr>
          <w:rFonts w:ascii="Times New Roman" w:hAnsi="Times New Roman" w:cs="Times New Roman"/>
          <w:sz w:val="24"/>
        </w:rPr>
        <w:t xml:space="preserve"> sent by the king of </w:t>
      </w:r>
      <w:proofErr w:type="spellStart"/>
      <w:r w:rsidR="00E2151E">
        <w:rPr>
          <w:rFonts w:ascii="Times New Roman" w:hAnsi="Times New Roman" w:cs="Times New Roman"/>
          <w:sz w:val="24"/>
        </w:rPr>
        <w:t>Dahomey</w:t>
      </w:r>
      <w:proofErr w:type="spellEnd"/>
      <w:r w:rsidR="00E2151E">
        <w:rPr>
          <w:rFonts w:ascii="Times New Roman" w:hAnsi="Times New Roman" w:cs="Times New Roman"/>
          <w:sz w:val="24"/>
        </w:rPr>
        <w:t xml:space="preserve"> around the turn of the 19</w:t>
      </w:r>
      <w:r w:rsidR="00E2151E" w:rsidRPr="00E2151E">
        <w:rPr>
          <w:rFonts w:ascii="Times New Roman" w:hAnsi="Times New Roman" w:cs="Times New Roman"/>
          <w:sz w:val="24"/>
          <w:vertAlign w:val="superscript"/>
        </w:rPr>
        <w:t>th</w:t>
      </w:r>
      <w:r w:rsidR="00E2151E">
        <w:rPr>
          <w:rFonts w:ascii="Times New Roman" w:hAnsi="Times New Roman" w:cs="Times New Roman"/>
          <w:sz w:val="24"/>
        </w:rPr>
        <w:t xml:space="preserve"> century</w:t>
      </w:r>
      <w:r w:rsidR="00F7525F">
        <w:rPr>
          <w:rFonts w:ascii="Times New Roman" w:hAnsi="Times New Roman" w:cs="Times New Roman"/>
          <w:sz w:val="24"/>
        </w:rPr>
        <w:t xml:space="preserve"> to Salvador da Bahia and Lisbon. The costs of these embassies were paid for by the Portuguese crown, and the </w:t>
      </w:r>
      <w:r w:rsidR="002D46EA">
        <w:rPr>
          <w:rFonts w:ascii="Times New Roman" w:hAnsi="Times New Roman" w:cs="Times New Roman"/>
          <w:sz w:val="24"/>
        </w:rPr>
        <w:t xml:space="preserve">bills which were kept make it clear that clothing was the principal expense for the ambassadors from </w:t>
      </w:r>
      <w:proofErr w:type="spellStart"/>
      <w:r w:rsidR="002D46EA">
        <w:rPr>
          <w:rFonts w:ascii="Times New Roman" w:hAnsi="Times New Roman" w:cs="Times New Roman"/>
          <w:sz w:val="24"/>
        </w:rPr>
        <w:t>Dahomey</w:t>
      </w:r>
      <w:proofErr w:type="spellEnd"/>
      <w:r w:rsidR="0002724B">
        <w:rPr>
          <w:rFonts w:ascii="Times New Roman" w:hAnsi="Times New Roman" w:cs="Times New Roman"/>
          <w:sz w:val="24"/>
        </w:rPr>
        <w:t>. In the case of the 1795-6 embassy, the major costs listed included fine cloths, capes, hats, jackets, coats and shoes, itemised for both the king’s son and for the official ambassador.</w:t>
      </w:r>
      <w:r w:rsidR="0002724B">
        <w:rPr>
          <w:rStyle w:val="FootnoteReference"/>
          <w:rFonts w:ascii="Times New Roman" w:hAnsi="Times New Roman" w:cs="Times New Roman"/>
          <w:sz w:val="24"/>
        </w:rPr>
        <w:footnoteReference w:id="36"/>
      </w:r>
      <w:r w:rsidR="0002724B">
        <w:rPr>
          <w:rFonts w:ascii="Times New Roman" w:hAnsi="Times New Roman" w:cs="Times New Roman"/>
          <w:sz w:val="24"/>
        </w:rPr>
        <w:t xml:space="preserve"> In the case of the 1805 embassy, there were again fine silk cloths given as gifts to the royal party.</w:t>
      </w:r>
      <w:r w:rsidR="0002724B">
        <w:rPr>
          <w:rStyle w:val="FootnoteReference"/>
          <w:rFonts w:ascii="Times New Roman" w:hAnsi="Times New Roman" w:cs="Times New Roman"/>
          <w:sz w:val="24"/>
        </w:rPr>
        <w:footnoteReference w:id="37"/>
      </w:r>
      <w:r w:rsidR="00296CD4">
        <w:rPr>
          <w:rFonts w:ascii="Times New Roman" w:hAnsi="Times New Roman" w:cs="Times New Roman"/>
          <w:sz w:val="24"/>
        </w:rPr>
        <w:t xml:space="preserve"> In other words, access to luxury imported cloths and the ability to wear them was a defining feature of nobility and prestige in </w:t>
      </w:r>
      <w:proofErr w:type="spellStart"/>
      <w:r w:rsidR="00296CD4">
        <w:rPr>
          <w:rFonts w:ascii="Times New Roman" w:hAnsi="Times New Roman" w:cs="Times New Roman"/>
          <w:sz w:val="24"/>
        </w:rPr>
        <w:t>Dahomey</w:t>
      </w:r>
      <w:proofErr w:type="spellEnd"/>
      <w:r w:rsidR="00296CD4">
        <w:rPr>
          <w:rFonts w:ascii="Times New Roman" w:hAnsi="Times New Roman" w:cs="Times New Roman"/>
          <w:sz w:val="24"/>
        </w:rPr>
        <w:t xml:space="preserve"> by the late 18</w:t>
      </w:r>
      <w:r w:rsidR="00296CD4" w:rsidRPr="00296CD4">
        <w:rPr>
          <w:rFonts w:ascii="Times New Roman" w:hAnsi="Times New Roman" w:cs="Times New Roman"/>
          <w:sz w:val="24"/>
          <w:vertAlign w:val="superscript"/>
        </w:rPr>
        <w:t>th</w:t>
      </w:r>
      <w:r w:rsidR="00296CD4">
        <w:rPr>
          <w:rFonts w:ascii="Times New Roman" w:hAnsi="Times New Roman" w:cs="Times New Roman"/>
          <w:sz w:val="24"/>
        </w:rPr>
        <w:t xml:space="preserve"> century; the nobility sought to gain access to these whenever they could, and the King ensured that this access was regulated through control of trade at the port of </w:t>
      </w:r>
      <w:proofErr w:type="spellStart"/>
      <w:r w:rsidR="00296CD4">
        <w:rPr>
          <w:rFonts w:ascii="Times New Roman" w:hAnsi="Times New Roman" w:cs="Times New Roman"/>
          <w:sz w:val="24"/>
        </w:rPr>
        <w:t>Ouidah</w:t>
      </w:r>
      <w:proofErr w:type="spellEnd"/>
      <w:r w:rsidR="00296CD4">
        <w:rPr>
          <w:rFonts w:ascii="Times New Roman" w:hAnsi="Times New Roman" w:cs="Times New Roman"/>
          <w:sz w:val="24"/>
        </w:rPr>
        <w:t xml:space="preserve"> and strict inheritance laws.</w:t>
      </w:r>
      <w:r w:rsidR="00D102E3">
        <w:rPr>
          <w:rStyle w:val="FootnoteReference"/>
          <w:rFonts w:ascii="Times New Roman" w:hAnsi="Times New Roman" w:cs="Times New Roman"/>
          <w:sz w:val="24"/>
        </w:rPr>
        <w:footnoteReference w:id="38"/>
      </w:r>
    </w:p>
    <w:p w:rsidR="00020A78" w:rsidRDefault="00020A78" w:rsidP="00F7525F">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As we have seen in this part of this chapter, the development of these laws </w:t>
      </w:r>
      <w:r w:rsidR="00E22AE0">
        <w:rPr>
          <w:rFonts w:ascii="Times New Roman" w:hAnsi="Times New Roman" w:cs="Times New Roman"/>
          <w:sz w:val="24"/>
        </w:rPr>
        <w:t xml:space="preserve">relating to imports and inheritance </w:t>
      </w:r>
      <w:r>
        <w:rPr>
          <w:rFonts w:ascii="Times New Roman" w:hAnsi="Times New Roman" w:cs="Times New Roman"/>
          <w:sz w:val="24"/>
        </w:rPr>
        <w:t xml:space="preserve">was not something that happened in </w:t>
      </w:r>
      <w:proofErr w:type="spellStart"/>
      <w:r>
        <w:rPr>
          <w:rFonts w:ascii="Times New Roman" w:hAnsi="Times New Roman" w:cs="Times New Roman"/>
          <w:sz w:val="24"/>
        </w:rPr>
        <w:t>Dahomey</w:t>
      </w:r>
      <w:proofErr w:type="spellEnd"/>
      <w:r>
        <w:rPr>
          <w:rFonts w:ascii="Times New Roman" w:hAnsi="Times New Roman" w:cs="Times New Roman"/>
          <w:sz w:val="24"/>
        </w:rPr>
        <w:t xml:space="preserve"> in isolation. It was a characteristic shared with Benin, with which </w:t>
      </w:r>
      <w:proofErr w:type="spellStart"/>
      <w:r>
        <w:rPr>
          <w:rFonts w:ascii="Times New Roman" w:hAnsi="Times New Roman" w:cs="Times New Roman"/>
          <w:sz w:val="24"/>
        </w:rPr>
        <w:t>Dahomey</w:t>
      </w:r>
      <w:proofErr w:type="spellEnd"/>
      <w:r>
        <w:rPr>
          <w:rFonts w:ascii="Times New Roman" w:hAnsi="Times New Roman" w:cs="Times New Roman"/>
          <w:sz w:val="24"/>
        </w:rPr>
        <w:t xml:space="preserve"> had diplomatic connections. It was the best method for k</w:t>
      </w:r>
      <w:r w:rsidR="003D5BC7">
        <w:rPr>
          <w:rFonts w:ascii="Times New Roman" w:hAnsi="Times New Roman" w:cs="Times New Roman"/>
          <w:sz w:val="24"/>
        </w:rPr>
        <w:t>ings to shore up their hold on</w:t>
      </w:r>
      <w:r>
        <w:rPr>
          <w:rFonts w:ascii="Times New Roman" w:hAnsi="Times New Roman" w:cs="Times New Roman"/>
          <w:sz w:val="24"/>
        </w:rPr>
        <w:t xml:space="preserve"> power and their ability to distribute the apparel of power to their trusted followers</w:t>
      </w:r>
      <w:r w:rsidR="003D5BC7">
        <w:rPr>
          <w:rFonts w:ascii="Times New Roman" w:hAnsi="Times New Roman" w:cs="Times New Roman"/>
          <w:sz w:val="24"/>
        </w:rPr>
        <w:t xml:space="preserve">, thereby consolidating their rule in an era of widespread </w:t>
      </w:r>
      <w:r w:rsidR="003D5BC7">
        <w:rPr>
          <w:rFonts w:ascii="Times New Roman" w:hAnsi="Times New Roman" w:cs="Times New Roman"/>
          <w:sz w:val="24"/>
        </w:rPr>
        <w:lastRenderedPageBreak/>
        <w:t xml:space="preserve">political instability in West Africa. The growth of political unrest and the repeated overthrow of the </w:t>
      </w:r>
      <w:proofErr w:type="spellStart"/>
      <w:r w:rsidR="003D5BC7">
        <w:rPr>
          <w:rFonts w:ascii="Times New Roman" w:hAnsi="Times New Roman" w:cs="Times New Roman"/>
          <w:i/>
          <w:sz w:val="24"/>
        </w:rPr>
        <w:t>Alafins</w:t>
      </w:r>
      <w:proofErr w:type="spellEnd"/>
      <w:r w:rsidR="003D5BC7">
        <w:rPr>
          <w:rFonts w:ascii="Times New Roman" w:hAnsi="Times New Roman" w:cs="Times New Roman"/>
          <w:sz w:val="24"/>
        </w:rPr>
        <w:t xml:space="preserve"> of Oyo in the later 18</w:t>
      </w:r>
      <w:r w:rsidR="003D5BC7" w:rsidRPr="003D5BC7">
        <w:rPr>
          <w:rFonts w:ascii="Times New Roman" w:hAnsi="Times New Roman" w:cs="Times New Roman"/>
          <w:sz w:val="24"/>
          <w:vertAlign w:val="superscript"/>
        </w:rPr>
        <w:t>th</w:t>
      </w:r>
      <w:r w:rsidR="003D5BC7">
        <w:rPr>
          <w:rFonts w:ascii="Times New Roman" w:hAnsi="Times New Roman" w:cs="Times New Roman"/>
          <w:sz w:val="24"/>
        </w:rPr>
        <w:t xml:space="preserve"> century meant that access to and control of the display of wealth and influence was vital to kingship in West Africa. Thus, </w:t>
      </w:r>
      <w:r w:rsidR="00B32485">
        <w:rPr>
          <w:rFonts w:ascii="Times New Roman" w:hAnsi="Times New Roman" w:cs="Times New Roman"/>
          <w:sz w:val="24"/>
        </w:rPr>
        <w:t>regulation over display and clothing</w:t>
      </w:r>
      <w:r w:rsidR="003D5BC7">
        <w:rPr>
          <w:rFonts w:ascii="Times New Roman" w:hAnsi="Times New Roman" w:cs="Times New Roman"/>
          <w:sz w:val="24"/>
        </w:rPr>
        <w:t xml:space="preserve"> did not de</w:t>
      </w:r>
      <w:r w:rsidR="00B32485">
        <w:rPr>
          <w:rFonts w:ascii="Times New Roman" w:hAnsi="Times New Roman" w:cs="Times New Roman"/>
          <w:sz w:val="24"/>
        </w:rPr>
        <w:t>cline in this period of history,</w:t>
      </w:r>
      <w:r w:rsidR="003D5BC7">
        <w:rPr>
          <w:rFonts w:ascii="Times New Roman" w:hAnsi="Times New Roman" w:cs="Times New Roman"/>
          <w:sz w:val="24"/>
        </w:rPr>
        <w:t xml:space="preserve"> in contrast to the situation in Europe</w:t>
      </w:r>
      <w:r w:rsidR="00B32485">
        <w:rPr>
          <w:rFonts w:ascii="Times New Roman" w:hAnsi="Times New Roman" w:cs="Times New Roman"/>
          <w:sz w:val="24"/>
        </w:rPr>
        <w:t xml:space="preserve"> where consumption was becoming democratised</w:t>
      </w:r>
      <w:r w:rsidR="003D5BC7">
        <w:rPr>
          <w:rFonts w:ascii="Times New Roman" w:hAnsi="Times New Roman" w:cs="Times New Roman"/>
          <w:sz w:val="24"/>
        </w:rPr>
        <w:t xml:space="preserve">; if anything, </w:t>
      </w:r>
      <w:r w:rsidR="00B32485">
        <w:rPr>
          <w:rFonts w:ascii="Times New Roman" w:hAnsi="Times New Roman" w:cs="Times New Roman"/>
          <w:sz w:val="24"/>
        </w:rPr>
        <w:t>such regulations</w:t>
      </w:r>
      <w:r w:rsidR="003D5BC7">
        <w:rPr>
          <w:rFonts w:ascii="Times New Roman" w:hAnsi="Times New Roman" w:cs="Times New Roman"/>
          <w:sz w:val="24"/>
        </w:rPr>
        <w:t xml:space="preserve"> became more rigidly enforced.</w:t>
      </w:r>
    </w:p>
    <w:p w:rsidR="00486B41" w:rsidRDefault="00486B41" w:rsidP="00F7525F">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That this was a common political and structural change in this part of West Africa is shown by the description made by the Danish traveller Paul Erdmann </w:t>
      </w:r>
      <w:proofErr w:type="spellStart"/>
      <w:r>
        <w:rPr>
          <w:rFonts w:ascii="Times New Roman" w:hAnsi="Times New Roman" w:cs="Times New Roman"/>
          <w:sz w:val="24"/>
        </w:rPr>
        <w:t>Isert</w:t>
      </w:r>
      <w:proofErr w:type="spellEnd"/>
      <w:r>
        <w:rPr>
          <w:rFonts w:ascii="Times New Roman" w:hAnsi="Times New Roman" w:cs="Times New Roman"/>
          <w:sz w:val="24"/>
        </w:rPr>
        <w:t xml:space="preserve"> of the king of Great Popo in 1789.</w:t>
      </w:r>
      <w:r w:rsidR="009A65F2">
        <w:rPr>
          <w:rStyle w:val="FootnoteReference"/>
          <w:rFonts w:ascii="Times New Roman" w:hAnsi="Times New Roman" w:cs="Times New Roman"/>
          <w:sz w:val="24"/>
        </w:rPr>
        <w:footnoteReference w:id="39"/>
      </w:r>
      <w:r>
        <w:rPr>
          <w:rFonts w:ascii="Times New Roman" w:hAnsi="Times New Roman" w:cs="Times New Roman"/>
          <w:sz w:val="24"/>
        </w:rPr>
        <w:t xml:space="preserve"> This was the neighbouring kingdom to</w:t>
      </w:r>
      <w:r w:rsidR="00B14721">
        <w:rPr>
          <w:rFonts w:ascii="Times New Roman" w:hAnsi="Times New Roman" w:cs="Times New Roman"/>
          <w:sz w:val="24"/>
        </w:rPr>
        <w:t xml:space="preserve"> the west of</w:t>
      </w:r>
      <w:r>
        <w:rPr>
          <w:rFonts w:ascii="Times New Roman" w:hAnsi="Times New Roman" w:cs="Times New Roman"/>
          <w:sz w:val="24"/>
        </w:rPr>
        <w:t xml:space="preserve"> </w:t>
      </w:r>
      <w:proofErr w:type="spellStart"/>
      <w:r>
        <w:rPr>
          <w:rFonts w:ascii="Times New Roman" w:hAnsi="Times New Roman" w:cs="Times New Roman"/>
          <w:sz w:val="24"/>
        </w:rPr>
        <w:t>Dahomey</w:t>
      </w:r>
      <w:proofErr w:type="spellEnd"/>
      <w:r>
        <w:rPr>
          <w:rFonts w:ascii="Times New Roman" w:hAnsi="Times New Roman" w:cs="Times New Roman"/>
          <w:sz w:val="24"/>
        </w:rPr>
        <w:t>, also a major trader in captives for the Atlantic trade, where some traders were wealthy enough by this time to have built three-storey houses, and to educate their children in Europe.</w:t>
      </w:r>
      <w:r>
        <w:rPr>
          <w:rStyle w:val="FootnoteReference"/>
          <w:rFonts w:ascii="Times New Roman" w:hAnsi="Times New Roman" w:cs="Times New Roman"/>
          <w:sz w:val="24"/>
        </w:rPr>
        <w:footnoteReference w:id="40"/>
      </w:r>
      <w:r>
        <w:rPr>
          <w:rFonts w:ascii="Times New Roman" w:hAnsi="Times New Roman" w:cs="Times New Roman"/>
          <w:sz w:val="24"/>
        </w:rPr>
        <w:t xml:space="preserve"> According to </w:t>
      </w:r>
      <w:proofErr w:type="spellStart"/>
      <w:r>
        <w:rPr>
          <w:rFonts w:ascii="Times New Roman" w:hAnsi="Times New Roman" w:cs="Times New Roman"/>
          <w:sz w:val="24"/>
        </w:rPr>
        <w:t>Isert</w:t>
      </w:r>
      <w:proofErr w:type="spellEnd"/>
      <w:r>
        <w:rPr>
          <w:rFonts w:ascii="Times New Roman" w:hAnsi="Times New Roman" w:cs="Times New Roman"/>
          <w:sz w:val="24"/>
        </w:rPr>
        <w:t>, on meeting the King of Great-Popo, they were all offered brandy, but “the king did not drink, since he must never partake of anything in public”.</w:t>
      </w:r>
      <w:r>
        <w:rPr>
          <w:rStyle w:val="FootnoteReference"/>
          <w:rFonts w:ascii="Times New Roman" w:hAnsi="Times New Roman" w:cs="Times New Roman"/>
          <w:sz w:val="24"/>
        </w:rPr>
        <w:footnoteReference w:id="41"/>
      </w:r>
    </w:p>
    <w:p w:rsidR="00B14721" w:rsidRDefault="00B14721" w:rsidP="00F7525F">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As we have seen, such rituals of taboo and separation were shared in common in kingdoms between Benin in the east and </w:t>
      </w:r>
      <w:proofErr w:type="spellStart"/>
      <w:r>
        <w:rPr>
          <w:rFonts w:ascii="Times New Roman" w:hAnsi="Times New Roman" w:cs="Times New Roman"/>
          <w:sz w:val="24"/>
        </w:rPr>
        <w:t>Dahomey</w:t>
      </w:r>
      <w:proofErr w:type="spellEnd"/>
      <w:r>
        <w:rPr>
          <w:rFonts w:ascii="Times New Roman" w:hAnsi="Times New Roman" w:cs="Times New Roman"/>
          <w:sz w:val="24"/>
        </w:rPr>
        <w:t xml:space="preserve"> and Great-Popo in the west. These were taboos which had religious origins in the connection between royalty and the religious cults originating from Ife, and interconnecting with the Aja and </w:t>
      </w:r>
      <w:proofErr w:type="spellStart"/>
      <w:r>
        <w:rPr>
          <w:rFonts w:ascii="Times New Roman" w:hAnsi="Times New Roman" w:cs="Times New Roman"/>
          <w:sz w:val="24"/>
        </w:rPr>
        <w:t>Fon</w:t>
      </w:r>
      <w:proofErr w:type="spellEnd"/>
      <w:r>
        <w:rPr>
          <w:rFonts w:ascii="Times New Roman" w:hAnsi="Times New Roman" w:cs="Times New Roman"/>
          <w:sz w:val="24"/>
        </w:rPr>
        <w:t xml:space="preserve"> religious practices which were found in </w:t>
      </w:r>
      <w:proofErr w:type="spellStart"/>
      <w:r>
        <w:rPr>
          <w:rFonts w:ascii="Times New Roman" w:hAnsi="Times New Roman" w:cs="Times New Roman"/>
          <w:sz w:val="24"/>
        </w:rPr>
        <w:t>Dahomey</w:t>
      </w:r>
      <w:proofErr w:type="spellEnd"/>
      <w:r>
        <w:rPr>
          <w:rFonts w:ascii="Times New Roman" w:hAnsi="Times New Roman" w:cs="Times New Roman"/>
          <w:sz w:val="24"/>
        </w:rPr>
        <w:t xml:space="preserve">. The rise of Atlantic trade provoked intense political competition, and made access to and retention of political power a very difficult task. In this circumstance, the semi-mystic power of the kings which had been safeguarded through </w:t>
      </w:r>
      <w:r w:rsidR="00B32485">
        <w:rPr>
          <w:rFonts w:ascii="Times New Roman" w:hAnsi="Times New Roman" w:cs="Times New Roman"/>
          <w:sz w:val="24"/>
        </w:rPr>
        <w:t>strict regulation</w:t>
      </w:r>
      <w:r>
        <w:rPr>
          <w:rFonts w:ascii="Times New Roman" w:hAnsi="Times New Roman" w:cs="Times New Roman"/>
          <w:sz w:val="24"/>
        </w:rPr>
        <w:t xml:space="preserve"> began slowly </w:t>
      </w:r>
      <w:r w:rsidR="00B32485">
        <w:rPr>
          <w:rFonts w:ascii="Times New Roman" w:hAnsi="Times New Roman" w:cs="Times New Roman"/>
          <w:sz w:val="24"/>
        </w:rPr>
        <w:t xml:space="preserve">to be transformed, and incorporate strict regulations requiring consumption which ensure the continued “splendid isolation” of the king and nobility. </w:t>
      </w:r>
      <w:r w:rsidR="00F61CD1">
        <w:rPr>
          <w:rFonts w:ascii="Times New Roman" w:hAnsi="Times New Roman" w:cs="Times New Roman"/>
          <w:sz w:val="24"/>
        </w:rPr>
        <w:t xml:space="preserve">What was thereby enshrined was the </w:t>
      </w:r>
      <w:r w:rsidR="00F61CD1">
        <w:rPr>
          <w:rFonts w:ascii="Times New Roman" w:hAnsi="Times New Roman" w:cs="Times New Roman"/>
          <w:sz w:val="24"/>
        </w:rPr>
        <w:lastRenderedPageBreak/>
        <w:t xml:space="preserve">accentuating distance between the king and nobility on the one hand, and the commoners on the other. </w:t>
      </w:r>
      <w:r w:rsidR="00B32485">
        <w:rPr>
          <w:rFonts w:ascii="Times New Roman" w:hAnsi="Times New Roman" w:cs="Times New Roman"/>
          <w:sz w:val="24"/>
        </w:rPr>
        <w:t>These</w:t>
      </w:r>
      <w:r w:rsidR="00F61CD1">
        <w:rPr>
          <w:rFonts w:ascii="Times New Roman" w:hAnsi="Times New Roman" w:cs="Times New Roman"/>
          <w:sz w:val="24"/>
        </w:rPr>
        <w:t xml:space="preserve"> laws thereby enabled this growing distance, and the accentuation of political power which accompanied the growth of Atlantic trade between the 16</w:t>
      </w:r>
      <w:r w:rsidR="00F61CD1" w:rsidRPr="00F61CD1">
        <w:rPr>
          <w:rFonts w:ascii="Times New Roman" w:hAnsi="Times New Roman" w:cs="Times New Roman"/>
          <w:sz w:val="24"/>
          <w:vertAlign w:val="superscript"/>
        </w:rPr>
        <w:t>th</w:t>
      </w:r>
      <w:r w:rsidR="00F61CD1">
        <w:rPr>
          <w:rFonts w:ascii="Times New Roman" w:hAnsi="Times New Roman" w:cs="Times New Roman"/>
          <w:sz w:val="24"/>
        </w:rPr>
        <w:t xml:space="preserve"> and 18</w:t>
      </w:r>
      <w:r w:rsidR="00F61CD1" w:rsidRPr="00F61CD1">
        <w:rPr>
          <w:rFonts w:ascii="Times New Roman" w:hAnsi="Times New Roman" w:cs="Times New Roman"/>
          <w:sz w:val="24"/>
          <w:vertAlign w:val="superscript"/>
        </w:rPr>
        <w:t>th</w:t>
      </w:r>
      <w:r w:rsidR="00B32485">
        <w:rPr>
          <w:rFonts w:ascii="Times New Roman" w:hAnsi="Times New Roman" w:cs="Times New Roman"/>
          <w:sz w:val="24"/>
        </w:rPr>
        <w:t xml:space="preserve"> centuries; their impact was very similar to the sumptuary laws which had existed in other part of the world heretofore.</w:t>
      </w:r>
    </w:p>
    <w:p w:rsidR="00EB7729" w:rsidRDefault="00307FEF" w:rsidP="00EB7729">
      <w:pPr>
        <w:pStyle w:val="NormalWeb"/>
        <w:spacing w:line="480" w:lineRule="auto"/>
        <w:contextualSpacing/>
        <w:jc w:val="both"/>
        <w:rPr>
          <w:b/>
          <w:i/>
        </w:rPr>
      </w:pPr>
      <w:r>
        <w:rPr>
          <w:b/>
          <w:i/>
        </w:rPr>
        <w:t>Conclusion: Power and Majesty in West African History</w:t>
      </w:r>
      <w:r w:rsidR="00CA6BEB" w:rsidRPr="00CA6BEB">
        <w:rPr>
          <w:b/>
          <w:i/>
        </w:rPr>
        <w:t xml:space="preserve"> </w:t>
      </w:r>
    </w:p>
    <w:p w:rsidR="00EB7729" w:rsidRDefault="00EB7729" w:rsidP="00EB7729">
      <w:pPr>
        <w:pStyle w:val="NormalWeb"/>
        <w:spacing w:line="480" w:lineRule="auto"/>
        <w:contextualSpacing/>
        <w:jc w:val="both"/>
      </w:pPr>
      <w:r>
        <w:t xml:space="preserve">The recent 2015 exhibition on the precolonial Kingdom of </w:t>
      </w:r>
      <w:proofErr w:type="spellStart"/>
      <w:r>
        <w:t>Kongo</w:t>
      </w:r>
      <w:proofErr w:type="spellEnd"/>
      <w:r>
        <w:t xml:space="preserve"> at the Metropolitan Museum of Art in New York was subtitled, “Power and Majesty”. This chapter has shown how these features, and the way in which they were manifested, are important aspects of understanding changes in state power in the West African kingdoms of Benin and </w:t>
      </w:r>
      <w:proofErr w:type="spellStart"/>
      <w:r>
        <w:t>Dahomey</w:t>
      </w:r>
      <w:proofErr w:type="spellEnd"/>
      <w:r>
        <w:t xml:space="preserve">. These case studies offer important starting points for beginning </w:t>
      </w:r>
      <w:r w:rsidR="00062603">
        <w:t>to think through how regulations</w:t>
      </w:r>
      <w:r>
        <w:t xml:space="preserve"> regarding clothing, display, and consumption changed in West Africa from the 16</w:t>
      </w:r>
      <w:r w:rsidRPr="00EB7729">
        <w:rPr>
          <w:vertAlign w:val="superscript"/>
        </w:rPr>
        <w:t>th</w:t>
      </w:r>
      <w:r>
        <w:t xml:space="preserve"> to the 19</w:t>
      </w:r>
      <w:r w:rsidRPr="00EB7729">
        <w:rPr>
          <w:vertAlign w:val="superscript"/>
        </w:rPr>
        <w:t>th</w:t>
      </w:r>
      <w:r w:rsidR="0033698B">
        <w:t xml:space="preserve"> century, and also how this contrasts with the situation in other world regions. </w:t>
      </w:r>
      <w:r>
        <w:t xml:space="preserve">These kingdoms were connected to one another culturally and commercially, and as we have seen the regulation of consumption became if anything </w:t>
      </w:r>
      <w:proofErr w:type="gramStart"/>
      <w:r>
        <w:t>more strict</w:t>
      </w:r>
      <w:proofErr w:type="gramEnd"/>
      <w:r>
        <w:t xml:space="preserve"> in this period, in contrast to the situation in Europe. </w:t>
      </w:r>
    </w:p>
    <w:p w:rsidR="00EB7729" w:rsidRDefault="00EB7729" w:rsidP="00EB7729">
      <w:pPr>
        <w:pStyle w:val="NormalWeb"/>
        <w:spacing w:line="480" w:lineRule="auto"/>
        <w:ind w:firstLine="720"/>
        <w:contextualSpacing/>
        <w:jc w:val="both"/>
      </w:pPr>
      <w:r>
        <w:t>Study of the ways in which these laws changed from the 16</w:t>
      </w:r>
      <w:r w:rsidRPr="008522F7">
        <w:rPr>
          <w:vertAlign w:val="superscript"/>
        </w:rPr>
        <w:t>th</w:t>
      </w:r>
      <w:r>
        <w:t xml:space="preserve"> to the 19</w:t>
      </w:r>
      <w:r w:rsidRPr="008522F7">
        <w:rPr>
          <w:vertAlign w:val="superscript"/>
        </w:rPr>
        <w:t>th</w:t>
      </w:r>
      <w:r>
        <w:t xml:space="preserve"> centuries offers an important new perspective on the changes to the West African state and the manifestation of kingship in this vital historical period, going beyond the stranglehold which the study of slavery so often has over the historical discussion of Africa. However it is also significant to try to consider in this chapter just how wide-reaching this framework was in the region, since there is a danger that building into a general conclusion </w:t>
      </w:r>
      <w:r w:rsidR="00062603">
        <w:t>f</w:t>
      </w:r>
      <w:r>
        <w:t>rom just these two case studies could present a danger of over-generalisation. To bring the discussion to a conclusion, it may therefore be helpful to consider in brief evidence from different regions of West Africa, in order to consider how wides</w:t>
      </w:r>
      <w:r w:rsidR="00942EA1">
        <w:t>pread this pattern actually was, and how useful the region is as a comparator to the other case studies examined in this book.</w:t>
      </w:r>
    </w:p>
    <w:p w:rsidR="00CA6BEB" w:rsidRDefault="00EB7729" w:rsidP="00062603">
      <w:pPr>
        <w:pStyle w:val="NormalWeb"/>
        <w:spacing w:line="480" w:lineRule="auto"/>
        <w:ind w:firstLine="720"/>
        <w:contextualSpacing/>
        <w:jc w:val="both"/>
      </w:pPr>
      <w:r>
        <w:lastRenderedPageBreak/>
        <w:t>In this context, s</w:t>
      </w:r>
      <w:r w:rsidR="00CA6BEB">
        <w:t>ome examples from the oral literatures of the broad</w:t>
      </w:r>
      <w:r>
        <w:t xml:space="preserve">er region of West Africa </w:t>
      </w:r>
      <w:r w:rsidR="00CA6BEB">
        <w:t xml:space="preserve">are quite revealing. The oral literatures </w:t>
      </w:r>
      <w:r w:rsidR="0031145B">
        <w:t>from</w:t>
      </w:r>
      <w:r w:rsidR="00CA6BEB">
        <w:t xml:space="preserve"> what is now the republic of Mali have several interesting pieces of evidence </w:t>
      </w:r>
      <w:r w:rsidR="00701789">
        <w:t>relating to</w:t>
      </w:r>
      <w:r w:rsidR="00CA6BEB">
        <w:t xml:space="preserve"> the general importance of </w:t>
      </w:r>
      <w:r w:rsidR="00062603">
        <w:t xml:space="preserve">analogues to </w:t>
      </w:r>
      <w:r w:rsidR="00CA6BEB">
        <w:t xml:space="preserve">sumptuary laws during the precolonial period. Several decades ago the French anthropologist Christiane </w:t>
      </w:r>
      <w:proofErr w:type="spellStart"/>
      <w:r w:rsidR="00CA6BEB">
        <w:t>Seydou</w:t>
      </w:r>
      <w:proofErr w:type="spellEnd"/>
      <w:r w:rsidR="00CA6BEB">
        <w:t xml:space="preserve"> compiled an interesting book, derived from the Fula praise-singer </w:t>
      </w:r>
      <w:proofErr w:type="spellStart"/>
      <w:r w:rsidR="00CA6BEB">
        <w:t>Tinguidji</w:t>
      </w:r>
      <w:proofErr w:type="spellEnd"/>
      <w:r w:rsidR="00CA6BEB">
        <w:t xml:space="preserve">, a </w:t>
      </w:r>
      <w:proofErr w:type="spellStart"/>
      <w:r w:rsidR="00CA6BEB">
        <w:t>Mâbo</w:t>
      </w:r>
      <w:proofErr w:type="spellEnd"/>
      <w:r w:rsidR="00CA6BEB">
        <w:t xml:space="preserve"> or praise-singer to the nobility from </w:t>
      </w:r>
      <w:proofErr w:type="spellStart"/>
      <w:r w:rsidR="00CA6BEB">
        <w:t>Massina</w:t>
      </w:r>
      <w:proofErr w:type="spellEnd"/>
      <w:r w:rsidR="00CA6BEB">
        <w:t xml:space="preserve">. </w:t>
      </w:r>
      <w:proofErr w:type="spellStart"/>
      <w:r w:rsidR="00CA6BEB">
        <w:t>Massina</w:t>
      </w:r>
      <w:proofErr w:type="spellEnd"/>
      <w:r w:rsidR="00CA6BEB">
        <w:t xml:space="preserve"> became an important Islamic kingdom in </w:t>
      </w:r>
      <w:r w:rsidR="00701789">
        <w:t>what is now central</w:t>
      </w:r>
      <w:r w:rsidR="00CA6BEB">
        <w:t xml:space="preserve"> Mali in the 19</w:t>
      </w:r>
      <w:r w:rsidR="00CA6BEB" w:rsidRPr="008D6F96">
        <w:rPr>
          <w:vertAlign w:val="superscript"/>
        </w:rPr>
        <w:t>th</w:t>
      </w:r>
      <w:r w:rsidR="00CA6BEB">
        <w:t xml:space="preserve"> century, and the tale of </w:t>
      </w:r>
      <w:proofErr w:type="spellStart"/>
      <w:r w:rsidR="00CA6BEB">
        <w:t>Silâmaka</w:t>
      </w:r>
      <w:proofErr w:type="spellEnd"/>
      <w:r w:rsidR="00CA6BEB">
        <w:t xml:space="preserve"> </w:t>
      </w:r>
      <w:r w:rsidR="00062603">
        <w:t xml:space="preserve">and </w:t>
      </w:r>
      <w:proofErr w:type="spellStart"/>
      <w:r w:rsidR="00062603">
        <w:t>Poullôri</w:t>
      </w:r>
      <w:proofErr w:type="spellEnd"/>
      <w:r w:rsidR="00062603">
        <w:t xml:space="preserve"> was, says </w:t>
      </w:r>
      <w:proofErr w:type="spellStart"/>
      <w:r w:rsidR="00062603">
        <w:t>Seydou</w:t>
      </w:r>
      <w:proofErr w:type="spellEnd"/>
      <w:r w:rsidR="00062603">
        <w:t xml:space="preserve">, </w:t>
      </w:r>
      <w:r w:rsidR="00CA6BEB">
        <w:t xml:space="preserve">a </w:t>
      </w:r>
      <w:proofErr w:type="spellStart"/>
      <w:r w:rsidR="00CA6BEB">
        <w:rPr>
          <w:i/>
        </w:rPr>
        <w:t>noddol</w:t>
      </w:r>
      <w:proofErr w:type="spellEnd"/>
      <w:r w:rsidR="00CA6BEB">
        <w:rPr>
          <w:i/>
        </w:rPr>
        <w:t xml:space="preserve"> </w:t>
      </w:r>
      <w:r w:rsidR="00CA6BEB">
        <w:t xml:space="preserve">or call to the Fula chief of </w:t>
      </w:r>
      <w:proofErr w:type="spellStart"/>
      <w:r w:rsidR="00CA6BEB">
        <w:t>Massina</w:t>
      </w:r>
      <w:proofErr w:type="spellEnd"/>
      <w:r w:rsidR="00CA6BEB">
        <w:t>, to reinvigorate the historical consciousness of his predecessors.</w:t>
      </w:r>
      <w:r w:rsidR="00CA6BEB">
        <w:rPr>
          <w:rStyle w:val="FootnoteReference"/>
        </w:rPr>
        <w:footnoteReference w:id="42"/>
      </w:r>
    </w:p>
    <w:p w:rsidR="00CA6BEB" w:rsidRDefault="00EB7729" w:rsidP="00CA6BEB">
      <w:pPr>
        <w:pStyle w:val="NormalWeb"/>
        <w:spacing w:line="480" w:lineRule="auto"/>
        <w:ind w:firstLine="720"/>
        <w:contextualSpacing/>
        <w:jc w:val="both"/>
      </w:pPr>
      <w:r>
        <w:t>The significance for this discussion is that o</w:t>
      </w:r>
      <w:r w:rsidR="00CA6BEB">
        <w:t xml:space="preserve">ne part of </w:t>
      </w:r>
      <w:proofErr w:type="spellStart"/>
      <w:r w:rsidR="00CA6BEB">
        <w:t>Tinguidji’s</w:t>
      </w:r>
      <w:proofErr w:type="spellEnd"/>
      <w:r w:rsidR="00CA6BEB">
        <w:t xml:space="preserve"> recital makes clear the importance of </w:t>
      </w:r>
      <w:r>
        <w:t xml:space="preserve">the regulation of consumption </w:t>
      </w:r>
      <w:r w:rsidR="00CA6BEB">
        <w:t>in Fula culture</w:t>
      </w:r>
      <w:r>
        <w:t xml:space="preserve"> by the late 18</w:t>
      </w:r>
      <w:r w:rsidRPr="00EB7729">
        <w:rPr>
          <w:vertAlign w:val="superscript"/>
        </w:rPr>
        <w:t>th</w:t>
      </w:r>
      <w:r>
        <w:t xml:space="preserve"> and early 19</w:t>
      </w:r>
      <w:r w:rsidRPr="00EB7729">
        <w:rPr>
          <w:vertAlign w:val="superscript"/>
        </w:rPr>
        <w:t>th</w:t>
      </w:r>
      <w:r>
        <w:t xml:space="preserve"> centuries</w:t>
      </w:r>
      <w:r w:rsidR="00CA6BEB">
        <w:t>:</w:t>
      </w:r>
    </w:p>
    <w:p w:rsidR="00EB7729" w:rsidRDefault="00EB7729" w:rsidP="00CA6BEB">
      <w:pPr>
        <w:pStyle w:val="NormalWeb"/>
        <w:ind w:firstLine="720"/>
        <w:contextualSpacing/>
        <w:jc w:val="both"/>
      </w:pPr>
    </w:p>
    <w:p w:rsidR="00CA6BEB" w:rsidRDefault="00CA6BEB" w:rsidP="00CA6BEB">
      <w:pPr>
        <w:pStyle w:val="NormalWeb"/>
        <w:ind w:firstLine="720"/>
        <w:contextualSpacing/>
        <w:jc w:val="both"/>
        <w:rPr>
          <w:i/>
        </w:rPr>
      </w:pPr>
      <w:r>
        <w:t>“A real Fula from the West</w:t>
      </w:r>
      <w:r>
        <w:tab/>
      </w:r>
      <w:r>
        <w:tab/>
      </w:r>
      <w:r>
        <w:tab/>
      </w:r>
      <w:r>
        <w:tab/>
      </w:r>
      <w:proofErr w:type="spellStart"/>
      <w:r>
        <w:rPr>
          <w:i/>
        </w:rPr>
        <w:t>Pullo</w:t>
      </w:r>
      <w:proofErr w:type="spellEnd"/>
      <w:r>
        <w:rPr>
          <w:i/>
        </w:rPr>
        <w:t xml:space="preserve"> </w:t>
      </w:r>
      <w:proofErr w:type="spellStart"/>
      <w:r>
        <w:rPr>
          <w:i/>
        </w:rPr>
        <w:t>gorgal</w:t>
      </w:r>
      <w:proofErr w:type="spellEnd"/>
      <w:r>
        <w:rPr>
          <w:i/>
        </w:rPr>
        <w:t xml:space="preserve"> </w:t>
      </w:r>
      <w:proofErr w:type="spellStart"/>
      <w:r>
        <w:rPr>
          <w:i/>
        </w:rPr>
        <w:t>piir</w:t>
      </w:r>
      <w:proofErr w:type="spellEnd"/>
      <w:r>
        <w:rPr>
          <w:i/>
        </w:rPr>
        <w:t xml:space="preserve"> </w:t>
      </w:r>
      <w:proofErr w:type="spellStart"/>
      <w:r>
        <w:rPr>
          <w:i/>
        </w:rPr>
        <w:t>duu</w:t>
      </w:r>
      <w:proofErr w:type="spellEnd"/>
    </w:p>
    <w:p w:rsidR="00CA6BEB" w:rsidRDefault="00CA6BEB" w:rsidP="00CA6BEB">
      <w:pPr>
        <w:pStyle w:val="NormalWeb"/>
        <w:ind w:firstLine="720"/>
        <w:contextualSpacing/>
        <w:jc w:val="both"/>
        <w:rPr>
          <w:i/>
        </w:rPr>
      </w:pPr>
      <w:r>
        <w:t>Does not eat before his sister</w:t>
      </w:r>
      <w:r>
        <w:tab/>
      </w:r>
      <w:r>
        <w:tab/>
      </w:r>
      <w:r>
        <w:tab/>
      </w:r>
      <w:r>
        <w:tab/>
      </w:r>
      <w:proofErr w:type="spellStart"/>
      <w:r>
        <w:rPr>
          <w:i/>
        </w:rPr>
        <w:t>nyaamtaa</w:t>
      </w:r>
      <w:proofErr w:type="spellEnd"/>
      <w:r>
        <w:rPr>
          <w:i/>
        </w:rPr>
        <w:t xml:space="preserve"> </w:t>
      </w:r>
      <w:proofErr w:type="spellStart"/>
      <w:r>
        <w:rPr>
          <w:i/>
        </w:rPr>
        <w:t>yeeso</w:t>
      </w:r>
      <w:proofErr w:type="spellEnd"/>
      <w:r>
        <w:rPr>
          <w:i/>
        </w:rPr>
        <w:t xml:space="preserve"> </w:t>
      </w:r>
      <w:proofErr w:type="spellStart"/>
      <w:r>
        <w:rPr>
          <w:i/>
        </w:rPr>
        <w:t>banndum-debbo</w:t>
      </w:r>
      <w:proofErr w:type="spellEnd"/>
    </w:p>
    <w:p w:rsidR="00CA6BEB" w:rsidRDefault="00CA6BEB" w:rsidP="00CA6BEB">
      <w:pPr>
        <w:pStyle w:val="NormalWeb"/>
        <w:ind w:firstLine="720"/>
        <w:contextualSpacing/>
        <w:jc w:val="both"/>
        <w:rPr>
          <w:i/>
        </w:rPr>
      </w:pPr>
      <w:r>
        <w:t>Does not eat before his wife!</w:t>
      </w:r>
      <w:r>
        <w:tab/>
      </w:r>
      <w:r>
        <w:tab/>
      </w:r>
      <w:r>
        <w:tab/>
      </w:r>
      <w:r>
        <w:tab/>
      </w:r>
      <w:proofErr w:type="spellStart"/>
      <w:proofErr w:type="gramStart"/>
      <w:r>
        <w:rPr>
          <w:i/>
        </w:rPr>
        <w:t>nyaamtaa</w:t>
      </w:r>
      <w:proofErr w:type="spellEnd"/>
      <w:proofErr w:type="gramEnd"/>
      <w:r>
        <w:rPr>
          <w:i/>
        </w:rPr>
        <w:t xml:space="preserve"> </w:t>
      </w:r>
      <w:proofErr w:type="spellStart"/>
      <w:r>
        <w:rPr>
          <w:i/>
        </w:rPr>
        <w:t>yeeso</w:t>
      </w:r>
      <w:proofErr w:type="spellEnd"/>
      <w:r>
        <w:rPr>
          <w:i/>
        </w:rPr>
        <w:t xml:space="preserve"> </w:t>
      </w:r>
      <w:proofErr w:type="spellStart"/>
      <w:r>
        <w:rPr>
          <w:i/>
        </w:rPr>
        <w:t>deekum</w:t>
      </w:r>
      <w:proofErr w:type="spellEnd"/>
      <w:r>
        <w:rPr>
          <w:i/>
        </w:rPr>
        <w:t>!</w:t>
      </w:r>
    </w:p>
    <w:p w:rsidR="00CA6BEB" w:rsidRPr="00D3745E" w:rsidRDefault="00CA6BEB" w:rsidP="00CA6BEB">
      <w:pPr>
        <w:pStyle w:val="NormalWeb"/>
        <w:ind w:firstLine="720"/>
        <w:contextualSpacing/>
        <w:jc w:val="both"/>
        <w:rPr>
          <w:i/>
        </w:rPr>
      </w:pPr>
      <w:r>
        <w:t>People say that whoever sees the mouthful</w:t>
      </w:r>
      <w:r>
        <w:tab/>
      </w:r>
      <w:r>
        <w:tab/>
      </w:r>
      <w:r>
        <w:rPr>
          <w:i/>
        </w:rPr>
        <w:t xml:space="preserve">‘Be </w:t>
      </w:r>
      <w:proofErr w:type="spellStart"/>
      <w:r>
        <w:rPr>
          <w:i/>
        </w:rPr>
        <w:t>mbi</w:t>
      </w:r>
      <w:proofErr w:type="spellEnd"/>
      <w:r>
        <w:rPr>
          <w:i/>
        </w:rPr>
        <w:t xml:space="preserve"> </w:t>
      </w:r>
      <w:proofErr w:type="gramStart"/>
      <w:r>
        <w:rPr>
          <w:i/>
        </w:rPr>
        <w:t xml:space="preserve">‘ </w:t>
      </w:r>
      <w:proofErr w:type="spellStart"/>
      <w:r>
        <w:rPr>
          <w:i/>
        </w:rPr>
        <w:t>i</w:t>
      </w:r>
      <w:proofErr w:type="spellEnd"/>
      <w:proofErr w:type="gramEnd"/>
      <w:r>
        <w:rPr>
          <w:i/>
        </w:rPr>
        <w:t xml:space="preserve"> </w:t>
      </w:r>
      <w:proofErr w:type="spellStart"/>
      <w:r>
        <w:rPr>
          <w:i/>
        </w:rPr>
        <w:t>neďďo</w:t>
      </w:r>
      <w:proofErr w:type="spellEnd"/>
      <w:r>
        <w:rPr>
          <w:i/>
        </w:rPr>
        <w:t xml:space="preserve"> </w:t>
      </w:r>
      <w:proofErr w:type="spellStart"/>
      <w:r>
        <w:rPr>
          <w:i/>
        </w:rPr>
        <w:t>si</w:t>
      </w:r>
      <w:proofErr w:type="spellEnd"/>
      <w:r>
        <w:rPr>
          <w:i/>
        </w:rPr>
        <w:t xml:space="preserve"> </w:t>
      </w:r>
      <w:proofErr w:type="spellStart"/>
      <w:r>
        <w:rPr>
          <w:i/>
        </w:rPr>
        <w:t>yii</w:t>
      </w:r>
      <w:proofErr w:type="spellEnd"/>
      <w:r>
        <w:rPr>
          <w:i/>
        </w:rPr>
        <w:t xml:space="preserve"> </w:t>
      </w:r>
      <w:proofErr w:type="spellStart"/>
      <w:r>
        <w:rPr>
          <w:i/>
        </w:rPr>
        <w:t>lonnge</w:t>
      </w:r>
      <w:proofErr w:type="spellEnd"/>
      <w:r>
        <w:rPr>
          <w:i/>
        </w:rPr>
        <w:t xml:space="preserve"> </w:t>
      </w:r>
    </w:p>
    <w:p w:rsidR="00CA6BEB" w:rsidRDefault="00CA6BEB" w:rsidP="00CA6BEB">
      <w:pPr>
        <w:pStyle w:val="NormalWeb"/>
        <w:ind w:firstLine="720"/>
        <w:contextualSpacing/>
        <w:jc w:val="both"/>
      </w:pPr>
      <w:r>
        <w:t xml:space="preserve">    </w:t>
      </w:r>
      <w:proofErr w:type="gramStart"/>
      <w:r>
        <w:t>that</w:t>
      </w:r>
      <w:proofErr w:type="gramEnd"/>
      <w:r>
        <w:t xml:space="preserve"> you take will lose all respect for you. </w:t>
      </w:r>
      <w:r>
        <w:tab/>
      </w:r>
      <w:r>
        <w:tab/>
        <w:t xml:space="preserve">       </w:t>
      </w:r>
      <w:proofErr w:type="spellStart"/>
      <w:proofErr w:type="gramStart"/>
      <w:r>
        <w:rPr>
          <w:i/>
        </w:rPr>
        <w:t>maaďa</w:t>
      </w:r>
      <w:proofErr w:type="spellEnd"/>
      <w:proofErr w:type="gramEnd"/>
      <w:r>
        <w:rPr>
          <w:i/>
        </w:rPr>
        <w:t xml:space="preserve"> </w:t>
      </w:r>
      <w:proofErr w:type="spellStart"/>
      <w:r>
        <w:rPr>
          <w:i/>
        </w:rPr>
        <w:t>fuu</w:t>
      </w:r>
      <w:proofErr w:type="spellEnd"/>
      <w:r>
        <w:rPr>
          <w:i/>
        </w:rPr>
        <w:t xml:space="preserve"> </w:t>
      </w:r>
      <w:proofErr w:type="spellStart"/>
      <w:r>
        <w:rPr>
          <w:i/>
        </w:rPr>
        <w:t>hafete</w:t>
      </w:r>
      <w:proofErr w:type="spellEnd"/>
      <w:r>
        <w:rPr>
          <w:i/>
        </w:rPr>
        <w:t>!</w:t>
      </w:r>
      <w:r>
        <w:t>”</w:t>
      </w:r>
      <w:r>
        <w:rPr>
          <w:rStyle w:val="FootnoteReference"/>
        </w:rPr>
        <w:footnoteReference w:id="43"/>
      </w:r>
    </w:p>
    <w:p w:rsidR="00CA6BEB" w:rsidRDefault="00CA6BEB" w:rsidP="00CA6BEB">
      <w:pPr>
        <w:pStyle w:val="NormalWeb"/>
        <w:spacing w:line="480" w:lineRule="auto"/>
        <w:contextualSpacing/>
        <w:jc w:val="both"/>
      </w:pPr>
    </w:p>
    <w:p w:rsidR="00CA6BEB" w:rsidRDefault="00CA6BEB" w:rsidP="00CA6BEB">
      <w:pPr>
        <w:pStyle w:val="NormalWeb"/>
        <w:spacing w:line="480" w:lineRule="auto"/>
        <w:contextualSpacing/>
        <w:jc w:val="both"/>
      </w:pPr>
      <w:r>
        <w:t>In this case, the act of consumption</w:t>
      </w:r>
      <w:r w:rsidR="000D47D7">
        <w:t xml:space="preserve"> i</w:t>
      </w:r>
      <w:r>
        <w:t>s closely connected to rituals of purity and the gendered division of activity and life which has been well studied by many anthropologists in the tradition of Mary Douglas.</w:t>
      </w:r>
      <w:r>
        <w:rPr>
          <w:rStyle w:val="FootnoteReference"/>
        </w:rPr>
        <w:footnoteReference w:id="44"/>
      </w:r>
      <w:r>
        <w:t xml:space="preserve"> However there is also the implication here that there was also a class hierarchy when it came to consumption; it was not just women who did not see a “real” </w:t>
      </w:r>
      <w:r>
        <w:lastRenderedPageBreak/>
        <w:t xml:space="preserve">Fula eating, but also anyone might lose respect if they observed the act of consumption. Class and gender </w:t>
      </w:r>
      <w:r w:rsidR="00EB7729">
        <w:t xml:space="preserve">hierarchies </w:t>
      </w:r>
      <w:r>
        <w:t>were clearly represented in the question of practise relate to consumption</w:t>
      </w:r>
      <w:r w:rsidR="000D47D7">
        <w:t xml:space="preserve"> in this region by 1800</w:t>
      </w:r>
      <w:r>
        <w:t>.</w:t>
      </w:r>
    </w:p>
    <w:p w:rsidR="00CA6BEB" w:rsidRDefault="00CA6BEB" w:rsidP="00CA6BEB">
      <w:pPr>
        <w:pStyle w:val="NormalWeb"/>
        <w:spacing w:line="480" w:lineRule="auto"/>
        <w:contextualSpacing/>
        <w:jc w:val="both"/>
      </w:pPr>
      <w:r>
        <w:tab/>
      </w:r>
      <w:r w:rsidR="003C27B1">
        <w:t>A similar</w:t>
      </w:r>
      <w:r>
        <w:t xml:space="preserve"> </w:t>
      </w:r>
      <w:r w:rsidR="00EB7729">
        <w:t>regulation of</w:t>
      </w:r>
      <w:r>
        <w:t xml:space="preserve"> consumption </w:t>
      </w:r>
      <w:r w:rsidR="003C27B1">
        <w:t xml:space="preserve">at this time </w:t>
      </w:r>
      <w:r>
        <w:t xml:space="preserve">is also clear from oral literatures found in The Gambia region. The Federation of </w:t>
      </w:r>
      <w:proofErr w:type="spellStart"/>
      <w:r>
        <w:t>Kaabu</w:t>
      </w:r>
      <w:proofErr w:type="spellEnd"/>
      <w:r>
        <w:t xml:space="preserve"> was a large state that prospered from the 16</w:t>
      </w:r>
      <w:r w:rsidRPr="009700F9">
        <w:rPr>
          <w:vertAlign w:val="superscript"/>
        </w:rPr>
        <w:t>th</w:t>
      </w:r>
      <w:r>
        <w:t xml:space="preserve"> to the 19</w:t>
      </w:r>
      <w:r w:rsidRPr="009700F9">
        <w:rPr>
          <w:vertAlign w:val="superscript"/>
        </w:rPr>
        <w:t>th</w:t>
      </w:r>
      <w:r>
        <w:t xml:space="preserve"> centuries in the region from what is now Guinea-Bissau, southern Senegal (the </w:t>
      </w:r>
      <w:proofErr w:type="spellStart"/>
      <w:r>
        <w:t>Casamance</w:t>
      </w:r>
      <w:proofErr w:type="spellEnd"/>
      <w:r>
        <w:t xml:space="preserve">), and the south Bank of the Gambia </w:t>
      </w:r>
      <w:proofErr w:type="gramStart"/>
      <w:r>
        <w:t>river</w:t>
      </w:r>
      <w:proofErr w:type="gramEnd"/>
      <w:r>
        <w:t>.</w:t>
      </w:r>
      <w:r>
        <w:rPr>
          <w:rStyle w:val="FootnoteReference"/>
        </w:rPr>
        <w:footnoteReference w:id="45"/>
      </w:r>
      <w:r>
        <w:t xml:space="preserve"> A highly hierarchized society evolved here, and one of the oral narratives describes a well in the </w:t>
      </w:r>
      <w:proofErr w:type="spellStart"/>
      <w:r>
        <w:t>Badora</w:t>
      </w:r>
      <w:proofErr w:type="spellEnd"/>
      <w:r>
        <w:t xml:space="preserve"> region, on the borderlands of </w:t>
      </w:r>
      <w:proofErr w:type="spellStart"/>
      <w:r>
        <w:t>Casamance</w:t>
      </w:r>
      <w:proofErr w:type="spellEnd"/>
      <w:r>
        <w:t xml:space="preserve"> and north-eastern Guinea-Bissau. This well was called </w:t>
      </w:r>
      <w:proofErr w:type="spellStart"/>
      <w:r>
        <w:t>Njampeng</w:t>
      </w:r>
      <w:proofErr w:type="spellEnd"/>
      <w:r>
        <w:t xml:space="preserve"> </w:t>
      </w:r>
      <w:proofErr w:type="spellStart"/>
      <w:r>
        <w:t>Njai</w:t>
      </w:r>
      <w:proofErr w:type="spellEnd"/>
      <w:r>
        <w:t xml:space="preserve">, and according to one account recorded in the 1960s, “It was surrounded by pawpaw trees and by silk cotton trees with </w:t>
      </w:r>
      <w:proofErr w:type="spellStart"/>
      <w:r>
        <w:t>smoothish</w:t>
      </w:r>
      <w:proofErr w:type="spellEnd"/>
      <w:r>
        <w:t xml:space="preserve"> earth</w:t>
      </w:r>
      <w:proofErr w:type="gramStart"/>
      <w:r>
        <w:t>./</w:t>
      </w:r>
      <w:proofErr w:type="gramEnd"/>
      <w:r>
        <w:t>The women of the princely house used to draw water from it./ Poor women did not draw water from it.”</w:t>
      </w:r>
      <w:r>
        <w:rPr>
          <w:rStyle w:val="FootnoteReference"/>
        </w:rPr>
        <w:footnoteReference w:id="46"/>
      </w:r>
    </w:p>
    <w:p w:rsidR="00CA6BEB" w:rsidRDefault="00CA6BEB" w:rsidP="00CA6BEB">
      <w:pPr>
        <w:pStyle w:val="NormalWeb"/>
        <w:spacing w:line="480" w:lineRule="auto"/>
        <w:contextualSpacing/>
        <w:jc w:val="both"/>
      </w:pPr>
      <w:r>
        <w:tab/>
      </w:r>
      <w:r w:rsidR="00062603">
        <w:t>These t</w:t>
      </w:r>
      <w:r w:rsidR="00EB7729">
        <w:t>wo examples both come from the latter end of the precolonial period, from the late 18</w:t>
      </w:r>
      <w:r w:rsidR="00EB7729" w:rsidRPr="00EB7729">
        <w:rPr>
          <w:vertAlign w:val="superscript"/>
        </w:rPr>
        <w:t>th</w:t>
      </w:r>
      <w:r w:rsidR="00EB7729">
        <w:t xml:space="preserve"> or early 19</w:t>
      </w:r>
      <w:r w:rsidR="00EB7729" w:rsidRPr="00EB7729">
        <w:rPr>
          <w:vertAlign w:val="superscript"/>
        </w:rPr>
        <w:t>th</w:t>
      </w:r>
      <w:r w:rsidR="00EB7729">
        <w:t xml:space="preserve"> centuries. It is therefore important to note the process of change from the earlier times documented by these oral literatures in the region. Here one</w:t>
      </w:r>
      <w:r>
        <w:t xml:space="preserve"> oral account of the first emperor of the empire of Mali, </w:t>
      </w:r>
      <w:proofErr w:type="spellStart"/>
      <w:r>
        <w:t>Sunjata</w:t>
      </w:r>
      <w:proofErr w:type="spellEnd"/>
      <w:r>
        <w:t xml:space="preserve"> Keita (</w:t>
      </w:r>
      <w:r>
        <w:rPr>
          <w:i/>
        </w:rPr>
        <w:t>fl. c. 1235-55</w:t>
      </w:r>
      <w:r>
        <w:t>)</w:t>
      </w:r>
      <w:r w:rsidR="00EB7729">
        <w:t xml:space="preserve"> is very important</w:t>
      </w:r>
      <w:r>
        <w:t xml:space="preserve">. The </w:t>
      </w:r>
      <w:proofErr w:type="spellStart"/>
      <w:r>
        <w:t>Sunjata</w:t>
      </w:r>
      <w:proofErr w:type="spellEnd"/>
      <w:r>
        <w:t xml:space="preserve"> epic is the centrepiece of oral literatures of the region of what the historian </w:t>
      </w:r>
      <w:proofErr w:type="spellStart"/>
      <w:r>
        <w:t>Boubacar</w:t>
      </w:r>
      <w:proofErr w:type="spellEnd"/>
      <w:r>
        <w:t xml:space="preserve"> Barry called “Greater Senegambia”, and many different versions exist.</w:t>
      </w:r>
      <w:r>
        <w:rPr>
          <w:rStyle w:val="FootnoteReference"/>
        </w:rPr>
        <w:footnoteReference w:id="47"/>
      </w:r>
      <w:r>
        <w:t xml:space="preserve"> In that of </w:t>
      </w:r>
      <w:proofErr w:type="spellStart"/>
      <w:r>
        <w:t>Lansine</w:t>
      </w:r>
      <w:proofErr w:type="spellEnd"/>
      <w:r>
        <w:t xml:space="preserve"> </w:t>
      </w:r>
      <w:proofErr w:type="spellStart"/>
      <w:r>
        <w:t>Diabaté</w:t>
      </w:r>
      <w:proofErr w:type="spellEnd"/>
      <w:r>
        <w:t xml:space="preserve"> from </w:t>
      </w:r>
      <w:proofErr w:type="spellStart"/>
      <w:r>
        <w:t>Kela</w:t>
      </w:r>
      <w:proofErr w:type="spellEnd"/>
      <w:r>
        <w:t xml:space="preserve">, recorded and published by Jan Jansen, </w:t>
      </w:r>
      <w:proofErr w:type="spellStart"/>
      <w:r>
        <w:t>Esger</w:t>
      </w:r>
      <w:proofErr w:type="spellEnd"/>
      <w:r>
        <w:t xml:space="preserve"> </w:t>
      </w:r>
      <w:proofErr w:type="spellStart"/>
      <w:r>
        <w:t>Duintjer</w:t>
      </w:r>
      <w:proofErr w:type="spellEnd"/>
      <w:r>
        <w:t xml:space="preserve"> and </w:t>
      </w:r>
      <w:proofErr w:type="spellStart"/>
      <w:r>
        <w:t>Boubacar</w:t>
      </w:r>
      <w:proofErr w:type="spellEnd"/>
      <w:r>
        <w:t xml:space="preserve"> </w:t>
      </w:r>
      <w:proofErr w:type="spellStart"/>
      <w:r>
        <w:t>Traore</w:t>
      </w:r>
      <w:proofErr w:type="spellEnd"/>
      <w:r>
        <w:t>, a rather different view of patterns of eating and consumption is recorded:</w:t>
      </w:r>
    </w:p>
    <w:p w:rsidR="00CA6BEB" w:rsidRDefault="00CA6BEB" w:rsidP="00CA6BEB">
      <w:pPr>
        <w:pStyle w:val="NormalWeb"/>
        <w:contextualSpacing/>
        <w:jc w:val="both"/>
      </w:pPr>
    </w:p>
    <w:p w:rsidR="003C27B1" w:rsidRDefault="003C27B1" w:rsidP="00CA6BEB">
      <w:pPr>
        <w:pStyle w:val="NormalWeb"/>
        <w:contextualSpacing/>
        <w:jc w:val="both"/>
      </w:pPr>
    </w:p>
    <w:p w:rsidR="00CA6BEB" w:rsidRPr="007216B8" w:rsidRDefault="00CA6BEB" w:rsidP="00CA6BEB">
      <w:pPr>
        <w:pStyle w:val="NormalWeb"/>
        <w:contextualSpacing/>
        <w:jc w:val="both"/>
      </w:pPr>
      <w:r w:rsidRPr="007216B8">
        <w:lastRenderedPageBreak/>
        <w:t>“Just then</w:t>
      </w:r>
      <w:r w:rsidRPr="007216B8">
        <w:tab/>
      </w:r>
      <w:r w:rsidRPr="007216B8">
        <w:tab/>
      </w:r>
      <w:r w:rsidRPr="007216B8">
        <w:tab/>
      </w:r>
      <w:r w:rsidRPr="007216B8">
        <w:tab/>
      </w:r>
      <w:r w:rsidRPr="007216B8">
        <w:tab/>
      </w:r>
      <w:r w:rsidRPr="007216B8">
        <w:tab/>
      </w:r>
      <w:r w:rsidRPr="007216B8">
        <w:rPr>
          <w:i/>
        </w:rPr>
        <w:t xml:space="preserve">O </w:t>
      </w:r>
      <w:proofErr w:type="spellStart"/>
      <w:r w:rsidRPr="007216B8">
        <w:rPr>
          <w:i/>
        </w:rPr>
        <w:t>tuma</w:t>
      </w:r>
      <w:proofErr w:type="spellEnd"/>
      <w:r w:rsidRPr="007216B8">
        <w:rPr>
          <w:i/>
        </w:rPr>
        <w:t>,</w:t>
      </w:r>
    </w:p>
    <w:p w:rsidR="00CA6BEB" w:rsidRPr="007216B8" w:rsidRDefault="00CA6BEB" w:rsidP="00CA6BEB">
      <w:pPr>
        <w:pStyle w:val="NormalWeb"/>
        <w:contextualSpacing/>
        <w:jc w:val="both"/>
        <w:rPr>
          <w:i/>
        </w:rPr>
      </w:pPr>
      <w:proofErr w:type="gramStart"/>
      <w:r w:rsidRPr="007216B8">
        <w:t>at</w:t>
      </w:r>
      <w:proofErr w:type="gramEnd"/>
      <w:r w:rsidRPr="007216B8">
        <w:t xml:space="preserve"> </w:t>
      </w:r>
      <w:proofErr w:type="spellStart"/>
      <w:r w:rsidRPr="007216B8">
        <w:t>Manko</w:t>
      </w:r>
      <w:proofErr w:type="spellEnd"/>
      <w:r w:rsidRPr="007216B8">
        <w:t xml:space="preserve"> </w:t>
      </w:r>
      <w:proofErr w:type="spellStart"/>
      <w:r w:rsidRPr="007216B8">
        <w:t>Farako</w:t>
      </w:r>
      <w:proofErr w:type="spellEnd"/>
      <w:r w:rsidRPr="007216B8">
        <w:t xml:space="preserve"> </w:t>
      </w:r>
      <w:proofErr w:type="spellStart"/>
      <w:r w:rsidRPr="007216B8">
        <w:t>Mangankèn’s</w:t>
      </w:r>
      <w:proofErr w:type="spellEnd"/>
      <w:r w:rsidRPr="007216B8">
        <w:t xml:space="preserve"> home</w:t>
      </w:r>
      <w:r w:rsidRPr="007216B8">
        <w:tab/>
      </w:r>
      <w:r w:rsidRPr="007216B8">
        <w:tab/>
      </w:r>
      <w:r w:rsidRPr="007216B8">
        <w:tab/>
      </w:r>
      <w:proofErr w:type="spellStart"/>
      <w:r w:rsidRPr="007216B8">
        <w:rPr>
          <w:i/>
        </w:rPr>
        <w:t>Manko</w:t>
      </w:r>
      <w:proofErr w:type="spellEnd"/>
      <w:r w:rsidRPr="007216B8">
        <w:rPr>
          <w:i/>
        </w:rPr>
        <w:t xml:space="preserve"> </w:t>
      </w:r>
      <w:proofErr w:type="spellStart"/>
      <w:r w:rsidRPr="007216B8">
        <w:rPr>
          <w:i/>
        </w:rPr>
        <w:t>Farak</w:t>
      </w:r>
      <w:r w:rsidRPr="007216B8">
        <w:rPr>
          <w:rFonts w:eastAsia="MS Mincho"/>
          <w:iCs/>
        </w:rPr>
        <w:t>ɔ</w:t>
      </w:r>
      <w:proofErr w:type="spellEnd"/>
      <w:r w:rsidRPr="007216B8">
        <w:rPr>
          <w:rFonts w:eastAsia="MS Mincho"/>
          <w:iCs/>
        </w:rPr>
        <w:t xml:space="preserve"> </w:t>
      </w:r>
      <w:proofErr w:type="spellStart"/>
      <w:r w:rsidRPr="007216B8">
        <w:rPr>
          <w:rFonts w:eastAsia="MS Mincho"/>
          <w:i/>
          <w:iCs/>
        </w:rPr>
        <w:t>Mangankèn</w:t>
      </w:r>
      <w:proofErr w:type="spellEnd"/>
    </w:p>
    <w:p w:rsidR="00CA6BEB" w:rsidRPr="007216B8" w:rsidRDefault="00CA6BEB" w:rsidP="00CA6BEB">
      <w:pPr>
        <w:pStyle w:val="NormalWeb"/>
        <w:contextualSpacing/>
        <w:jc w:val="both"/>
        <w:rPr>
          <w:i/>
        </w:rPr>
      </w:pPr>
      <w:proofErr w:type="gramStart"/>
      <w:r w:rsidRPr="007216B8">
        <w:t>when</w:t>
      </w:r>
      <w:proofErr w:type="gramEnd"/>
      <w:r w:rsidRPr="007216B8">
        <w:t xml:space="preserve"> </w:t>
      </w:r>
      <w:proofErr w:type="spellStart"/>
      <w:r w:rsidRPr="007216B8">
        <w:t>Sogolòn</w:t>
      </w:r>
      <w:proofErr w:type="spellEnd"/>
      <w:r w:rsidRPr="007216B8">
        <w:t xml:space="preserve"> </w:t>
      </w:r>
      <w:proofErr w:type="spellStart"/>
      <w:r w:rsidRPr="007216B8">
        <w:t>Kejùgu</w:t>
      </w:r>
      <w:proofErr w:type="spellEnd"/>
      <w:r w:rsidRPr="007216B8">
        <w:t xml:space="preserve"> had given birth,</w:t>
      </w:r>
      <w:r w:rsidRPr="007216B8">
        <w:tab/>
      </w:r>
      <w:r w:rsidRPr="007216B8">
        <w:tab/>
      </w:r>
      <w:proofErr w:type="spellStart"/>
      <w:r w:rsidRPr="007216B8">
        <w:rPr>
          <w:i/>
        </w:rPr>
        <w:t>Sogolon</w:t>
      </w:r>
      <w:proofErr w:type="spellEnd"/>
      <w:r w:rsidRPr="007216B8">
        <w:rPr>
          <w:i/>
        </w:rPr>
        <w:t xml:space="preserve"> </w:t>
      </w:r>
      <w:proofErr w:type="spellStart"/>
      <w:r w:rsidRPr="007216B8">
        <w:rPr>
          <w:i/>
        </w:rPr>
        <w:t>Kejugu</w:t>
      </w:r>
      <w:proofErr w:type="spellEnd"/>
      <w:r w:rsidRPr="007216B8">
        <w:rPr>
          <w:i/>
        </w:rPr>
        <w:t xml:space="preserve"> </w:t>
      </w:r>
      <w:proofErr w:type="spellStart"/>
      <w:r w:rsidRPr="007216B8">
        <w:rPr>
          <w:i/>
        </w:rPr>
        <w:t>jigilen</w:t>
      </w:r>
      <w:proofErr w:type="spellEnd"/>
    </w:p>
    <w:p w:rsidR="00CA6BEB" w:rsidRPr="007216B8" w:rsidRDefault="00CA6BEB" w:rsidP="00CA6BEB">
      <w:pPr>
        <w:pStyle w:val="NormalWeb"/>
        <w:contextualSpacing/>
        <w:jc w:val="both"/>
        <w:rPr>
          <w:i/>
        </w:rPr>
      </w:pPr>
      <w:proofErr w:type="gramStart"/>
      <w:r w:rsidRPr="007216B8">
        <w:t>when</w:t>
      </w:r>
      <w:proofErr w:type="gramEnd"/>
      <w:r w:rsidRPr="007216B8">
        <w:t xml:space="preserve"> the old woman had been sent</w:t>
      </w:r>
      <w:r w:rsidRPr="007216B8">
        <w:tab/>
      </w:r>
      <w:r w:rsidRPr="007216B8">
        <w:tab/>
      </w:r>
      <w:r w:rsidRPr="007216B8">
        <w:tab/>
      </w:r>
      <w:proofErr w:type="spellStart"/>
      <w:r w:rsidRPr="007216B8">
        <w:rPr>
          <w:i/>
        </w:rPr>
        <w:t>musok</w:t>
      </w:r>
      <w:r w:rsidRPr="007216B8">
        <w:rPr>
          <w:rFonts w:eastAsia="MS Mincho"/>
          <w:iCs/>
        </w:rPr>
        <w:t>ɔrɔnin</w:t>
      </w:r>
      <w:proofErr w:type="spellEnd"/>
      <w:r w:rsidRPr="007216B8">
        <w:rPr>
          <w:rFonts w:eastAsia="MS Mincho"/>
          <w:iCs/>
        </w:rPr>
        <w:t xml:space="preserve"> </w:t>
      </w:r>
      <w:proofErr w:type="spellStart"/>
      <w:r w:rsidRPr="007216B8">
        <w:rPr>
          <w:rFonts w:eastAsia="MS Mincho"/>
          <w:iCs/>
        </w:rPr>
        <w:t>d</w:t>
      </w:r>
      <w:r w:rsidRPr="007216B8">
        <w:rPr>
          <w:i/>
        </w:rPr>
        <w:t>ε</w:t>
      </w:r>
      <w:proofErr w:type="spellEnd"/>
      <w:r w:rsidRPr="007216B8">
        <w:rPr>
          <w:i/>
        </w:rPr>
        <w:t xml:space="preserve"> </w:t>
      </w:r>
      <w:proofErr w:type="spellStart"/>
      <w:r w:rsidRPr="007216B8">
        <w:rPr>
          <w:i/>
        </w:rPr>
        <w:t>bilalen</w:t>
      </w:r>
      <w:proofErr w:type="spellEnd"/>
      <w:r w:rsidRPr="007216B8">
        <w:rPr>
          <w:i/>
        </w:rPr>
        <w:t xml:space="preserve"> </w:t>
      </w:r>
      <w:proofErr w:type="spellStart"/>
      <w:r w:rsidRPr="007216B8">
        <w:rPr>
          <w:i/>
        </w:rPr>
        <w:t>k’o</w:t>
      </w:r>
      <w:proofErr w:type="spellEnd"/>
      <w:r w:rsidRPr="007216B8">
        <w:rPr>
          <w:i/>
        </w:rPr>
        <w:t xml:space="preserve"> </w:t>
      </w:r>
      <w:proofErr w:type="spellStart"/>
      <w:r w:rsidRPr="007216B8">
        <w:rPr>
          <w:i/>
        </w:rPr>
        <w:t>ka</w:t>
      </w:r>
      <w:proofErr w:type="spellEnd"/>
      <w:r w:rsidRPr="007216B8">
        <w:rPr>
          <w:i/>
        </w:rPr>
        <w:t xml:space="preserve"> </w:t>
      </w:r>
      <w:proofErr w:type="spellStart"/>
      <w:r w:rsidRPr="007216B8">
        <w:rPr>
          <w:i/>
        </w:rPr>
        <w:t>waa</w:t>
      </w:r>
      <w:proofErr w:type="spellEnd"/>
    </w:p>
    <w:p w:rsidR="00CA6BEB" w:rsidRPr="007216B8" w:rsidRDefault="00CA6BEB" w:rsidP="00CA6BEB">
      <w:pPr>
        <w:pStyle w:val="NormalWeb"/>
        <w:contextualSpacing/>
        <w:jc w:val="both"/>
        <w:rPr>
          <w:rFonts w:eastAsia="MS Mincho"/>
          <w:iCs/>
        </w:rPr>
      </w:pPr>
      <w:proofErr w:type="gramStart"/>
      <w:r w:rsidRPr="007216B8">
        <w:t>to</w:t>
      </w:r>
      <w:proofErr w:type="gramEnd"/>
      <w:r w:rsidRPr="007216B8">
        <w:t xml:space="preserve"> announce the child’s arrival…</w:t>
      </w:r>
      <w:r w:rsidRPr="007216B8">
        <w:tab/>
      </w:r>
      <w:r w:rsidRPr="007216B8">
        <w:tab/>
      </w:r>
      <w:r>
        <w:tab/>
      </w:r>
      <w:proofErr w:type="spellStart"/>
      <w:r w:rsidRPr="007216B8">
        <w:rPr>
          <w:i/>
        </w:rPr>
        <w:t>denko</w:t>
      </w:r>
      <w:proofErr w:type="spellEnd"/>
      <w:r w:rsidRPr="007216B8">
        <w:rPr>
          <w:i/>
        </w:rPr>
        <w:t xml:space="preserve"> </w:t>
      </w:r>
      <w:proofErr w:type="spellStart"/>
      <w:r w:rsidRPr="007216B8">
        <w:rPr>
          <w:i/>
        </w:rPr>
        <w:t>f</w:t>
      </w:r>
      <w:r w:rsidRPr="007216B8">
        <w:rPr>
          <w:rFonts w:eastAsia="MS Mincho"/>
          <w:i/>
          <w:iCs/>
        </w:rPr>
        <w:t>ɔla</w:t>
      </w:r>
      <w:proofErr w:type="spellEnd"/>
      <w:r>
        <w:rPr>
          <w:rFonts w:eastAsia="MS Mincho"/>
          <w:i/>
          <w:iCs/>
        </w:rPr>
        <w:t>…</w:t>
      </w:r>
    </w:p>
    <w:p w:rsidR="00CA6BEB" w:rsidRPr="007216B8" w:rsidRDefault="00CA6BEB" w:rsidP="00CA6BEB">
      <w:pPr>
        <w:pStyle w:val="NormalWeb"/>
        <w:contextualSpacing/>
        <w:jc w:val="both"/>
        <w:rPr>
          <w:i/>
        </w:rPr>
      </w:pPr>
      <w:r w:rsidRPr="007216B8">
        <w:rPr>
          <w:rFonts w:eastAsia="MS Mincho"/>
          <w:iCs/>
        </w:rPr>
        <w:t>At that time, the king’s breakfast</w:t>
      </w:r>
      <w:r w:rsidRPr="007216B8">
        <w:rPr>
          <w:rFonts w:eastAsia="MS Mincho"/>
          <w:iCs/>
        </w:rPr>
        <w:tab/>
      </w:r>
      <w:r w:rsidRPr="007216B8">
        <w:rPr>
          <w:rFonts w:eastAsia="MS Mincho"/>
          <w:iCs/>
        </w:rPr>
        <w:tab/>
      </w:r>
      <w:r w:rsidRPr="007216B8">
        <w:rPr>
          <w:rFonts w:eastAsia="MS Mincho"/>
          <w:iCs/>
        </w:rPr>
        <w:tab/>
      </w:r>
      <w:r w:rsidRPr="007216B8">
        <w:rPr>
          <w:rFonts w:eastAsia="MS Mincho"/>
          <w:i/>
          <w:iCs/>
        </w:rPr>
        <w:t xml:space="preserve">o </w:t>
      </w:r>
      <w:proofErr w:type="spellStart"/>
      <w:r w:rsidRPr="007216B8">
        <w:rPr>
          <w:rFonts w:eastAsia="MS Mincho"/>
          <w:i/>
          <w:iCs/>
        </w:rPr>
        <w:t>tuma</w:t>
      </w:r>
      <w:proofErr w:type="spellEnd"/>
      <w:r w:rsidRPr="007216B8">
        <w:rPr>
          <w:rFonts w:eastAsia="MS Mincho"/>
          <w:i/>
          <w:iCs/>
        </w:rPr>
        <w:t xml:space="preserve"> </w:t>
      </w:r>
      <w:proofErr w:type="spellStart"/>
      <w:r w:rsidRPr="007216B8">
        <w:rPr>
          <w:rFonts w:eastAsia="MS Mincho"/>
          <w:i/>
          <w:iCs/>
        </w:rPr>
        <w:t>yan</w:t>
      </w:r>
      <w:proofErr w:type="spellEnd"/>
      <w:r w:rsidRPr="007216B8">
        <w:rPr>
          <w:rFonts w:eastAsia="MS Mincho"/>
          <w:i/>
          <w:iCs/>
        </w:rPr>
        <w:t xml:space="preserve">, </w:t>
      </w:r>
      <w:proofErr w:type="spellStart"/>
      <w:r w:rsidRPr="007216B8">
        <w:rPr>
          <w:rFonts w:eastAsia="MS Mincho"/>
          <w:i/>
          <w:iCs/>
        </w:rPr>
        <w:t>mansak</w:t>
      </w:r>
      <w:r w:rsidRPr="007216B8">
        <w:rPr>
          <w:i/>
        </w:rPr>
        <w:t>ε</w:t>
      </w:r>
      <w:proofErr w:type="spellEnd"/>
      <w:r w:rsidRPr="007216B8">
        <w:rPr>
          <w:i/>
        </w:rPr>
        <w:t xml:space="preserve"> </w:t>
      </w:r>
      <w:proofErr w:type="spellStart"/>
      <w:r w:rsidRPr="007216B8">
        <w:rPr>
          <w:i/>
        </w:rPr>
        <w:t>ka</w:t>
      </w:r>
      <w:proofErr w:type="spellEnd"/>
      <w:r w:rsidRPr="007216B8">
        <w:rPr>
          <w:i/>
        </w:rPr>
        <w:t xml:space="preserve"> </w:t>
      </w:r>
      <w:proofErr w:type="spellStart"/>
      <w:r w:rsidRPr="007216B8">
        <w:rPr>
          <w:i/>
        </w:rPr>
        <w:t>daraka</w:t>
      </w:r>
      <w:proofErr w:type="spellEnd"/>
    </w:p>
    <w:p w:rsidR="00CA6BEB" w:rsidRDefault="00CA6BEB" w:rsidP="00CA6BEB">
      <w:pPr>
        <w:pStyle w:val="NormalWeb"/>
        <w:contextualSpacing/>
        <w:jc w:val="both"/>
      </w:pPr>
      <w:proofErr w:type="gramStart"/>
      <w:r w:rsidRPr="007216B8">
        <w:t>was</w:t>
      </w:r>
      <w:proofErr w:type="gramEnd"/>
      <w:r w:rsidRPr="007216B8">
        <w:t xml:space="preserve"> taken in the company of the whole population.</w:t>
      </w:r>
      <w:r w:rsidRPr="007216B8">
        <w:tab/>
      </w:r>
      <w:proofErr w:type="spellStart"/>
      <w:proofErr w:type="gramStart"/>
      <w:r w:rsidRPr="007216B8">
        <w:rPr>
          <w:i/>
        </w:rPr>
        <w:t>bεεbe</w:t>
      </w:r>
      <w:proofErr w:type="spellEnd"/>
      <w:proofErr w:type="gramEnd"/>
      <w:r w:rsidRPr="007216B8">
        <w:rPr>
          <w:i/>
        </w:rPr>
        <w:t xml:space="preserve">, </w:t>
      </w:r>
      <w:proofErr w:type="spellStart"/>
      <w:r w:rsidRPr="007216B8">
        <w:rPr>
          <w:i/>
        </w:rPr>
        <w:t>jamabεε</w:t>
      </w:r>
      <w:proofErr w:type="spellEnd"/>
      <w:r w:rsidRPr="007216B8">
        <w:rPr>
          <w:i/>
        </w:rPr>
        <w:t xml:space="preserve"> be </w:t>
      </w:r>
      <w:proofErr w:type="spellStart"/>
      <w:r w:rsidRPr="007216B8">
        <w:rPr>
          <w:i/>
        </w:rPr>
        <w:t>ajε</w:t>
      </w:r>
      <w:proofErr w:type="spellEnd"/>
      <w:r w:rsidRPr="007216B8">
        <w:rPr>
          <w:i/>
        </w:rPr>
        <w:t xml:space="preserve"> </w:t>
      </w:r>
      <w:proofErr w:type="spellStart"/>
      <w:r w:rsidRPr="007216B8">
        <w:rPr>
          <w:i/>
        </w:rPr>
        <w:t>ka</w:t>
      </w:r>
      <w:proofErr w:type="spellEnd"/>
      <w:r w:rsidRPr="007216B8">
        <w:rPr>
          <w:i/>
        </w:rPr>
        <w:t xml:space="preserve"> </w:t>
      </w:r>
      <w:proofErr w:type="spellStart"/>
      <w:r w:rsidRPr="007216B8">
        <w:rPr>
          <w:i/>
        </w:rPr>
        <w:t>damun</w:t>
      </w:r>
      <w:proofErr w:type="spellEnd"/>
      <w:r w:rsidRPr="007216B8">
        <w:rPr>
          <w:i/>
        </w:rPr>
        <w:t>”</w:t>
      </w:r>
      <w:r>
        <w:t>.</w:t>
      </w:r>
      <w:r>
        <w:rPr>
          <w:rStyle w:val="FootnoteReference"/>
        </w:rPr>
        <w:footnoteReference w:id="48"/>
      </w:r>
    </w:p>
    <w:p w:rsidR="00CA6BEB" w:rsidRDefault="00CA6BEB" w:rsidP="00CA6BEB">
      <w:pPr>
        <w:pStyle w:val="NormalWeb"/>
        <w:contextualSpacing/>
        <w:jc w:val="both"/>
      </w:pPr>
    </w:p>
    <w:p w:rsidR="00CA6BEB" w:rsidRDefault="00CA6BEB" w:rsidP="00CA6BEB">
      <w:pPr>
        <w:pStyle w:val="NormalWeb"/>
        <w:spacing w:line="480" w:lineRule="auto"/>
        <w:contextualSpacing/>
        <w:jc w:val="both"/>
      </w:pPr>
    </w:p>
    <w:p w:rsidR="003C27B1" w:rsidRDefault="00CA6BEB" w:rsidP="001C4010">
      <w:pPr>
        <w:pStyle w:val="NormalWeb"/>
        <w:spacing w:line="480" w:lineRule="auto"/>
        <w:ind w:firstLine="720"/>
        <w:contextualSpacing/>
        <w:jc w:val="both"/>
      </w:pPr>
      <w:r>
        <w:t>Thus where in the Fula narrative the “real” Fula eats unobserved, in the narrative about the origins of Mali, the king of Mali was observed by the whole population.</w:t>
      </w:r>
      <w:r w:rsidR="00EB7729">
        <w:t xml:space="preserve"> </w:t>
      </w:r>
      <w:r w:rsidR="001C4010">
        <w:t xml:space="preserve">Read together, these </w:t>
      </w:r>
      <w:r>
        <w:t xml:space="preserve">oral sources suggest a shift in </w:t>
      </w:r>
      <w:r w:rsidR="00EB7729">
        <w:t>the regulation of</w:t>
      </w:r>
      <w:r>
        <w:t xml:space="preserve"> consumption and power in the heartland of the old Mali </w:t>
      </w:r>
      <w:proofErr w:type="gramStart"/>
      <w:r>
        <w:t>empire</w:t>
      </w:r>
      <w:proofErr w:type="gramEnd"/>
      <w:r w:rsidR="001C4010">
        <w:t xml:space="preserve"> which resonates strongly with the case studies we have looked at on Benin and </w:t>
      </w:r>
      <w:proofErr w:type="spellStart"/>
      <w:r w:rsidR="001C4010">
        <w:t>Dahomey</w:t>
      </w:r>
      <w:proofErr w:type="spellEnd"/>
      <w:r>
        <w:t xml:space="preserve">. Where in distant times there were fewer barriers between the king and the commoners, and they might watch him eat, the passage of time saw more divisions grow up between different social groups, and in time power came to be displayed in part through separation and the guarding of these taboos by elites. </w:t>
      </w:r>
    </w:p>
    <w:p w:rsidR="001C4010" w:rsidRDefault="003C27B1" w:rsidP="001C4010">
      <w:pPr>
        <w:pStyle w:val="NormalWeb"/>
        <w:spacing w:line="480" w:lineRule="auto"/>
        <w:ind w:firstLine="720"/>
        <w:contextualSpacing/>
        <w:jc w:val="both"/>
      </w:pPr>
      <w:r>
        <w:t>As we have seen in this chapter, a core contributory factor in this change was t</w:t>
      </w:r>
      <w:r w:rsidR="00CA6BEB">
        <w:t>he rise of a greate</w:t>
      </w:r>
      <w:r>
        <w:t>r preponderance of imported cloth</w:t>
      </w:r>
      <w:r w:rsidR="00CA6BEB">
        <w:t>s and greater variety of foodstuffs, which accompanied the expansion of trade to and from West Africa from the 14</w:t>
      </w:r>
      <w:r w:rsidR="00CA6BEB" w:rsidRPr="00263D0C">
        <w:rPr>
          <w:vertAlign w:val="superscript"/>
        </w:rPr>
        <w:t>th</w:t>
      </w:r>
      <w:r w:rsidR="00CA6BEB">
        <w:t xml:space="preserve"> to the 19</w:t>
      </w:r>
      <w:r w:rsidR="00CA6BEB" w:rsidRPr="00263D0C">
        <w:rPr>
          <w:vertAlign w:val="superscript"/>
        </w:rPr>
        <w:t>th</w:t>
      </w:r>
      <w:r>
        <w:t xml:space="preserve"> centuries. The examples discussed here have shown that this process </w:t>
      </w:r>
      <w:r w:rsidR="00CA6BEB">
        <w:t xml:space="preserve">was accompanied not so much by a democratisation of consumption as by the establishment of more universal </w:t>
      </w:r>
      <w:r w:rsidR="00EB7729">
        <w:t>regulation of consumption</w:t>
      </w:r>
      <w:r>
        <w:t xml:space="preserve"> in many different societies</w:t>
      </w:r>
      <w:r w:rsidR="00CA6BEB">
        <w:t>.</w:t>
      </w:r>
      <w:r w:rsidR="001C4010">
        <w:t xml:space="preserve"> </w:t>
      </w:r>
      <w:r w:rsidR="00CA6BEB">
        <w:t xml:space="preserve">In this case therefore, what may be preserved is not necessarily the distant details of the audience which the Mansa of Mali had when he ate breakfast, but rather the sense of the growing </w:t>
      </w:r>
      <w:r w:rsidR="001C4010">
        <w:t>regulation</w:t>
      </w:r>
      <w:r w:rsidR="00CA6BEB">
        <w:t xml:space="preserve"> which attended the consumption patterns of the elite over a long period of time. </w:t>
      </w:r>
    </w:p>
    <w:p w:rsidR="00CA6BEB" w:rsidRDefault="00CA6BEB" w:rsidP="001C4010">
      <w:pPr>
        <w:pStyle w:val="NormalWeb"/>
        <w:spacing w:line="480" w:lineRule="auto"/>
        <w:ind w:firstLine="720"/>
        <w:contextualSpacing/>
        <w:jc w:val="both"/>
      </w:pPr>
      <w:r>
        <w:lastRenderedPageBreak/>
        <w:t xml:space="preserve">An important idea of how this process may have taken place </w:t>
      </w:r>
      <w:r w:rsidR="001C4010">
        <w:t xml:space="preserve">in West Africa </w:t>
      </w:r>
      <w:r>
        <w:t xml:space="preserve">is provided by the Song of </w:t>
      </w:r>
      <w:proofErr w:type="spellStart"/>
      <w:r>
        <w:t>Bagauda</w:t>
      </w:r>
      <w:proofErr w:type="spellEnd"/>
      <w:r>
        <w:t xml:space="preserve">, a Hausa </w:t>
      </w:r>
      <w:r w:rsidR="00005B89">
        <w:t>homily</w:t>
      </w:r>
      <w:r>
        <w:t xml:space="preserve"> transcribed and translated by the scholar Mervyn </w:t>
      </w:r>
      <w:proofErr w:type="spellStart"/>
      <w:r>
        <w:t>Hiskett</w:t>
      </w:r>
      <w:proofErr w:type="spellEnd"/>
      <w:r>
        <w:t>. In what is now Northern Nigeria, Hausa peoples controlled important kingdoms, especially the city of Kano, which was a major terminus for the trans-Saharan trade to Tripoli from the 15</w:t>
      </w:r>
      <w:r w:rsidRPr="0058442D">
        <w:rPr>
          <w:vertAlign w:val="superscript"/>
        </w:rPr>
        <w:t>th</w:t>
      </w:r>
      <w:r>
        <w:t xml:space="preserve"> century onwards. The “Song of </w:t>
      </w:r>
      <w:proofErr w:type="spellStart"/>
      <w:r>
        <w:t>Bagauda</w:t>
      </w:r>
      <w:proofErr w:type="spellEnd"/>
      <w:r>
        <w:t xml:space="preserve">” described well the rule of the Kano king </w:t>
      </w:r>
      <w:proofErr w:type="spellStart"/>
      <w:r>
        <w:t>Babba</w:t>
      </w:r>
      <w:proofErr w:type="spellEnd"/>
      <w:r>
        <w:t xml:space="preserve"> </w:t>
      </w:r>
      <w:proofErr w:type="spellStart"/>
      <w:r>
        <w:t>Zaki</w:t>
      </w:r>
      <w:proofErr w:type="spellEnd"/>
      <w:r>
        <w:t>, from c. 1747-71, stating that “it was he who introduced remoteness into kingship/Setting body-guards to rebuke the people</w:t>
      </w:r>
      <w:proofErr w:type="gramStart"/>
      <w:r>
        <w:t>./</w:t>
      </w:r>
      <w:proofErr w:type="gramEnd"/>
      <w:r>
        <w:t>One could not see him – the Great One – except through an intermediary”.</w:t>
      </w:r>
      <w:r>
        <w:rPr>
          <w:rStyle w:val="FootnoteReference"/>
        </w:rPr>
        <w:footnoteReference w:id="49"/>
      </w:r>
      <w:r>
        <w:t xml:space="preserve"> Importantly, these changes were also connected to the growing power of Kano, since “It was his sovereignty that has set the standard for Kano</w:t>
      </w:r>
      <w:proofErr w:type="gramStart"/>
      <w:r>
        <w:t>./</w:t>
      </w:r>
      <w:proofErr w:type="gramEnd"/>
      <w:r>
        <w:t xml:space="preserve"> It was in his time that horses were amassed”.</w:t>
      </w:r>
      <w:r>
        <w:rPr>
          <w:rStyle w:val="FootnoteReference"/>
        </w:rPr>
        <w:footnoteReference w:id="50"/>
      </w:r>
    </w:p>
    <w:p w:rsidR="001C4010" w:rsidRDefault="00CA6BEB" w:rsidP="001C4010">
      <w:pPr>
        <w:pStyle w:val="NormalWeb"/>
        <w:spacing w:line="480" w:lineRule="auto"/>
        <w:contextualSpacing/>
        <w:jc w:val="both"/>
      </w:pPr>
      <w:r>
        <w:tab/>
        <w:t>By the middle of the 18</w:t>
      </w:r>
      <w:r w:rsidRPr="002161D2">
        <w:rPr>
          <w:vertAlign w:val="superscript"/>
        </w:rPr>
        <w:t>th</w:t>
      </w:r>
      <w:r>
        <w:t xml:space="preserve"> century, therefore, perhaps the most important kingdom of the Sahel was developing the sort of separation between kings and people that is suggested too in the Fula narrative from </w:t>
      </w:r>
      <w:proofErr w:type="spellStart"/>
      <w:r>
        <w:t>Massina</w:t>
      </w:r>
      <w:proofErr w:type="spellEnd"/>
      <w:r>
        <w:t xml:space="preserve"> to the east</w:t>
      </w:r>
      <w:r w:rsidR="001C4010">
        <w:t xml:space="preserve">, and which we have seen also in the examples from Benin and </w:t>
      </w:r>
      <w:proofErr w:type="spellStart"/>
      <w:r w:rsidR="001C4010">
        <w:t>Dahomey</w:t>
      </w:r>
      <w:proofErr w:type="spellEnd"/>
      <w:r w:rsidR="001C4010">
        <w:t xml:space="preserve"> considered in more detail in this chapter</w:t>
      </w:r>
      <w:r>
        <w:t>. The growth of trade and state power which emerged in the 18</w:t>
      </w:r>
      <w:r w:rsidRPr="002161D2">
        <w:rPr>
          <w:vertAlign w:val="superscript"/>
        </w:rPr>
        <w:t>th</w:t>
      </w:r>
      <w:r>
        <w:t xml:space="preserve"> century, with expanded cavalry, and the import of large numbers of firearms and other trade goods which bolstered state authority, was leading to a concentration of power in many different West African kingdoms. This concentration of power was manifested in a growing separation between ruling elites and the populations, and this separation was embodied through </w:t>
      </w:r>
      <w:r w:rsidR="001C4010">
        <w:t>the regulation of consumption</w:t>
      </w:r>
      <w:r>
        <w:t xml:space="preserve"> which made real and apparent this separation. The rise in trade and consumer goods therefore produced divisions in society which would lead to great political tensions by the 19</w:t>
      </w:r>
      <w:r w:rsidRPr="00E97045">
        <w:rPr>
          <w:vertAlign w:val="superscript"/>
        </w:rPr>
        <w:t>th</w:t>
      </w:r>
      <w:r>
        <w:t xml:space="preserve"> century.</w:t>
      </w:r>
    </w:p>
    <w:p w:rsidR="00062603" w:rsidRDefault="0017791A" w:rsidP="00062603">
      <w:pPr>
        <w:pStyle w:val="NormalWeb"/>
        <w:spacing w:line="480" w:lineRule="auto"/>
        <w:contextualSpacing/>
        <w:jc w:val="both"/>
      </w:pPr>
      <w:r>
        <w:tab/>
        <w:t xml:space="preserve">The trajectory of sumptuary laws in West African societies is therefore somewhat different to the case of many European societies, where increased trade led to a democratisation </w:t>
      </w:r>
      <w:r>
        <w:lastRenderedPageBreak/>
        <w:t xml:space="preserve">of consumption patterns as the rising bourgeoisie lobbied for similar rights to the aristocracy. </w:t>
      </w:r>
      <w:r w:rsidR="001C4010">
        <w:t xml:space="preserve">In West Africa, consumption and deportment was strictly regulated, though there were </w:t>
      </w:r>
      <w:proofErr w:type="spellStart"/>
      <w:r w:rsidR="001C4010">
        <w:t>not</w:t>
      </w:r>
      <w:proofErr w:type="spellEnd"/>
      <w:r w:rsidR="001C4010">
        <w:t xml:space="preserve"> precise laws over who could spend money on what. In this regulation, t</w:t>
      </w:r>
      <w:r>
        <w:t xml:space="preserve">he question of class was fundamental. The absence of a </w:t>
      </w:r>
      <w:r w:rsidR="00BA4CA1">
        <w:t xml:space="preserve">strong and independent </w:t>
      </w:r>
      <w:r>
        <w:t xml:space="preserve">bourgeoisie in Benin and </w:t>
      </w:r>
      <w:proofErr w:type="spellStart"/>
      <w:r>
        <w:t>Dahomey</w:t>
      </w:r>
      <w:proofErr w:type="spellEnd"/>
      <w:r>
        <w:t xml:space="preserve"> – other than those court officials who worked for the Kings – meant that there was not the same pressure to relax sumptuary laws as was the case in European countries. Where a “middle class” could lobby for the end to such differentials of display, this was not the case in West Africa, which meant that the divide between the aristocracies and the commoners (who were always potentially </w:t>
      </w:r>
      <w:proofErr w:type="spellStart"/>
      <w:r>
        <w:t>enslaveable</w:t>
      </w:r>
      <w:proofErr w:type="spellEnd"/>
      <w:r>
        <w:t>) grew quickly.</w:t>
      </w:r>
    </w:p>
    <w:p w:rsidR="00DD5B97" w:rsidRPr="00043FBC" w:rsidRDefault="00DD5B97" w:rsidP="00062603">
      <w:pPr>
        <w:pStyle w:val="NormalWeb"/>
        <w:spacing w:line="480" w:lineRule="auto"/>
        <w:contextualSpacing/>
        <w:jc w:val="both"/>
      </w:pPr>
      <w:r>
        <w:tab/>
      </w:r>
      <w:r w:rsidR="00EB1C9D">
        <w:t>The result was a crisis of power in the 19</w:t>
      </w:r>
      <w:r w:rsidR="00EB1C9D" w:rsidRPr="00EB1C9D">
        <w:rPr>
          <w:vertAlign w:val="superscript"/>
        </w:rPr>
        <w:t>th</w:t>
      </w:r>
      <w:r w:rsidR="00EB1C9D">
        <w:t xml:space="preserve"> century, </w:t>
      </w:r>
      <w:r w:rsidR="001C4010">
        <w:t xml:space="preserve">where </w:t>
      </w:r>
      <w:r w:rsidR="00EB1C9D">
        <w:t xml:space="preserve">revolutionary movements swept many areas, from Senegambia in the West to the Niger Bend and northern Nigeria. </w:t>
      </w:r>
      <w:r w:rsidR="0080386B">
        <w:t>These movements, grounded in deep-seated class antagonisms, led to the overthrow of the traditional aristocracies in many of these areas. While access to trade goods and political capital had grown, the control of these and the distribution among the nobility had enabled the growth of a ruling elite class and the steady encroachment on the rights of peoples in many kingdoms</w:t>
      </w:r>
      <w:r w:rsidR="004C09FE">
        <w:t xml:space="preserve">, as the examples of Benin and </w:t>
      </w:r>
      <w:proofErr w:type="spellStart"/>
      <w:r w:rsidR="004C09FE">
        <w:t>Dahomey</w:t>
      </w:r>
      <w:proofErr w:type="spellEnd"/>
      <w:r w:rsidR="004C09FE">
        <w:t xml:space="preserve"> have shown in detail in this chapter</w:t>
      </w:r>
      <w:r w:rsidR="0080386B">
        <w:t>. In many parts of West Africa, the movements which arose in the 19</w:t>
      </w:r>
      <w:r w:rsidR="0080386B" w:rsidRPr="0080386B">
        <w:rPr>
          <w:vertAlign w:val="superscript"/>
        </w:rPr>
        <w:t>th</w:t>
      </w:r>
      <w:r w:rsidR="0080386B">
        <w:t xml:space="preserve"> century dispensed with these </w:t>
      </w:r>
      <w:r w:rsidR="00F06618">
        <w:t>ruling elites</w:t>
      </w:r>
      <w:r w:rsidR="0080386B">
        <w:t xml:space="preserve">, and the </w:t>
      </w:r>
      <w:r w:rsidR="00F06618">
        <w:t xml:space="preserve">inevitable </w:t>
      </w:r>
      <w:r w:rsidR="0080386B">
        <w:t>struggles which followed in their turn paved the way for the</w:t>
      </w:r>
      <w:r w:rsidR="00F06618">
        <w:t xml:space="preserve"> swift</w:t>
      </w:r>
      <w:r w:rsidR="0080386B">
        <w:t xml:space="preserve"> rise of formal colonialism.</w:t>
      </w:r>
    </w:p>
    <w:sectPr w:rsidR="00DD5B97" w:rsidRPr="00043F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109" w:rsidRDefault="00BC7109" w:rsidP="0049411E">
      <w:pPr>
        <w:spacing w:after="0" w:line="240" w:lineRule="auto"/>
      </w:pPr>
      <w:r>
        <w:separator/>
      </w:r>
    </w:p>
  </w:endnote>
  <w:endnote w:type="continuationSeparator" w:id="0">
    <w:p w:rsidR="00BC7109" w:rsidRDefault="00BC7109" w:rsidP="0049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51470"/>
      <w:docPartObj>
        <w:docPartGallery w:val="Page Numbers (Bottom of Page)"/>
        <w:docPartUnique/>
      </w:docPartObj>
    </w:sdtPr>
    <w:sdtEndPr>
      <w:rPr>
        <w:noProof/>
      </w:rPr>
    </w:sdtEndPr>
    <w:sdtContent>
      <w:p w:rsidR="0049411E" w:rsidRDefault="0049411E">
        <w:pPr>
          <w:pStyle w:val="Footer"/>
          <w:jc w:val="right"/>
        </w:pPr>
        <w:r>
          <w:fldChar w:fldCharType="begin"/>
        </w:r>
        <w:r>
          <w:instrText xml:space="preserve"> PAGE   \* MERGEFORMAT </w:instrText>
        </w:r>
        <w:r>
          <w:fldChar w:fldCharType="separate"/>
        </w:r>
        <w:r w:rsidR="00420A51">
          <w:rPr>
            <w:noProof/>
          </w:rPr>
          <w:t>20</w:t>
        </w:r>
        <w:r>
          <w:rPr>
            <w:noProof/>
          </w:rPr>
          <w:fldChar w:fldCharType="end"/>
        </w:r>
      </w:p>
    </w:sdtContent>
  </w:sdt>
  <w:p w:rsidR="0049411E" w:rsidRDefault="00494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109" w:rsidRDefault="00BC7109" w:rsidP="0049411E">
      <w:pPr>
        <w:spacing w:after="0" w:line="240" w:lineRule="auto"/>
      </w:pPr>
      <w:r>
        <w:separator/>
      </w:r>
    </w:p>
  </w:footnote>
  <w:footnote w:type="continuationSeparator" w:id="0">
    <w:p w:rsidR="00BC7109" w:rsidRDefault="00BC7109" w:rsidP="0049411E">
      <w:pPr>
        <w:spacing w:after="0" w:line="240" w:lineRule="auto"/>
      </w:pPr>
      <w:r>
        <w:continuationSeparator/>
      </w:r>
    </w:p>
  </w:footnote>
  <w:footnote w:id="1">
    <w:p w:rsidR="00AD7E89" w:rsidRDefault="00AD7E89">
      <w:pPr>
        <w:pStyle w:val="FootnoteText"/>
      </w:pPr>
      <w:r>
        <w:rPr>
          <w:rStyle w:val="FootnoteReference"/>
        </w:rPr>
        <w:footnoteRef/>
      </w:r>
      <w:r>
        <w:t xml:space="preserve"> Peter M. </w:t>
      </w:r>
      <w:proofErr w:type="spellStart"/>
      <w:r>
        <w:t>Roese</w:t>
      </w:r>
      <w:proofErr w:type="spellEnd"/>
      <w:r>
        <w:t xml:space="preserve"> and Dmitri M. </w:t>
      </w:r>
      <w:proofErr w:type="spellStart"/>
      <w:r>
        <w:t>Bondarenko</w:t>
      </w:r>
      <w:proofErr w:type="spellEnd"/>
      <w:r>
        <w:t xml:space="preserve">, </w:t>
      </w:r>
      <w:r>
        <w:rPr>
          <w:i/>
        </w:rPr>
        <w:t xml:space="preserve">A Popular History of Benin: The Rise and </w:t>
      </w:r>
      <w:proofErr w:type="gramStart"/>
      <w:r>
        <w:rPr>
          <w:i/>
        </w:rPr>
        <w:t>Fall</w:t>
      </w:r>
      <w:proofErr w:type="gramEnd"/>
      <w:r>
        <w:rPr>
          <w:i/>
        </w:rPr>
        <w:t xml:space="preserve"> of a Mighty Forest Kingdom</w:t>
      </w:r>
      <w:r>
        <w:t xml:space="preserve"> (Frankfurt-am-Main: Peter Lang, 2003),</w:t>
      </w:r>
      <w:r>
        <w:rPr>
          <w:i/>
        </w:rPr>
        <w:t xml:space="preserve"> </w:t>
      </w:r>
      <w:r>
        <w:t>61-3.</w:t>
      </w:r>
    </w:p>
  </w:footnote>
  <w:footnote w:id="2">
    <w:p w:rsidR="007C4E5F" w:rsidRPr="00ED5C02" w:rsidRDefault="007C4E5F">
      <w:pPr>
        <w:pStyle w:val="FootnoteText"/>
      </w:pPr>
      <w:r>
        <w:rPr>
          <w:rStyle w:val="FootnoteReference"/>
        </w:rPr>
        <w:footnoteRef/>
      </w:r>
      <w:r>
        <w:t xml:space="preserve"> </w:t>
      </w:r>
      <w:proofErr w:type="gramStart"/>
      <w:r>
        <w:t>ibid.,</w:t>
      </w:r>
      <w:proofErr w:type="gramEnd"/>
      <w:r>
        <w:t xml:space="preserve"> 80-6</w:t>
      </w:r>
      <w:r w:rsidR="00ED5C02">
        <w:t xml:space="preserve">; AFC Ryder, </w:t>
      </w:r>
      <w:r w:rsidR="00ED5C02">
        <w:rPr>
          <w:i/>
        </w:rPr>
        <w:t>Benin and the Europeans 1485-1897</w:t>
      </w:r>
      <w:r w:rsidR="00ED5C02">
        <w:t xml:space="preserve"> (Harlow: Longmans, Green &amp; Co., 1969), 8.</w:t>
      </w:r>
    </w:p>
  </w:footnote>
  <w:footnote w:id="3">
    <w:p w:rsidR="00ED5C02" w:rsidRDefault="00ED5C02">
      <w:pPr>
        <w:pStyle w:val="FootnoteText"/>
      </w:pPr>
      <w:r>
        <w:rPr>
          <w:rStyle w:val="FootnoteReference"/>
        </w:rPr>
        <w:footnoteRef/>
      </w:r>
      <w:r>
        <w:t xml:space="preserve"> </w:t>
      </w:r>
      <w:proofErr w:type="gramStart"/>
      <w:r>
        <w:t>Ibid.,</w:t>
      </w:r>
      <w:proofErr w:type="gramEnd"/>
      <w:r>
        <w:t xml:space="preserve"> 12.</w:t>
      </w:r>
    </w:p>
  </w:footnote>
  <w:footnote w:id="4">
    <w:p w:rsidR="00C32D51" w:rsidRDefault="00C32D51">
      <w:pPr>
        <w:pStyle w:val="FootnoteText"/>
      </w:pPr>
      <w:r>
        <w:rPr>
          <w:rStyle w:val="FootnoteReference"/>
        </w:rPr>
        <w:footnoteRef/>
      </w:r>
      <w:r>
        <w:t xml:space="preserve"> </w:t>
      </w:r>
      <w:proofErr w:type="gramStart"/>
      <w:r>
        <w:t>Ibid.,</w:t>
      </w:r>
      <w:proofErr w:type="gramEnd"/>
      <w:r>
        <w:t xml:space="preserve"> 38</w:t>
      </w:r>
      <w:r w:rsidR="00213B0C">
        <w:t>-40</w:t>
      </w:r>
      <w:r>
        <w:t xml:space="preserve"> on the early pepper trade and the im</w:t>
      </w:r>
      <w:r w:rsidR="00213B0C">
        <w:t>pact of the Indian spice trade, and shift towards the slave trade.</w:t>
      </w:r>
    </w:p>
  </w:footnote>
  <w:footnote w:id="5">
    <w:p w:rsidR="00A77484" w:rsidRDefault="00A77484">
      <w:pPr>
        <w:pStyle w:val="FootnoteText"/>
      </w:pPr>
      <w:r>
        <w:rPr>
          <w:rStyle w:val="FootnoteReference"/>
        </w:rPr>
        <w:footnoteRef/>
      </w:r>
      <w:r>
        <w:t xml:space="preserve"> </w:t>
      </w:r>
      <w:proofErr w:type="gramStart"/>
      <w:r>
        <w:t>Ibid.,</w:t>
      </w:r>
      <w:proofErr w:type="gramEnd"/>
      <w:r>
        <w:t xml:space="preserve"> 45.</w:t>
      </w:r>
    </w:p>
  </w:footnote>
  <w:footnote w:id="6">
    <w:p w:rsidR="00ED5C02" w:rsidRPr="00ED5C02" w:rsidRDefault="00ED5C02">
      <w:pPr>
        <w:pStyle w:val="FootnoteText"/>
      </w:pPr>
      <w:r w:rsidRPr="00ED5C02">
        <w:rPr>
          <w:rStyle w:val="FootnoteReference"/>
        </w:rPr>
        <w:footnoteRef/>
      </w:r>
      <w:r w:rsidRPr="00ED5C02">
        <w:t xml:space="preserve"> On the disappointment of missionaries in 1539, see </w:t>
      </w:r>
      <w:proofErr w:type="spellStart"/>
      <w:r w:rsidRPr="00ED5C02">
        <w:t>António</w:t>
      </w:r>
      <w:proofErr w:type="spellEnd"/>
      <w:r w:rsidRPr="00ED5C02">
        <w:t xml:space="preserve"> </w:t>
      </w:r>
      <w:proofErr w:type="spellStart"/>
      <w:r w:rsidRPr="00ED5C02">
        <w:t>Brá</w:t>
      </w:r>
      <w:r>
        <w:t>s</w:t>
      </w:r>
      <w:r w:rsidRPr="00ED5C02">
        <w:t>io</w:t>
      </w:r>
      <w:proofErr w:type="spellEnd"/>
      <w:r w:rsidRPr="00ED5C02">
        <w:t xml:space="preserve"> (ed.), </w:t>
      </w:r>
      <w:proofErr w:type="spellStart"/>
      <w:r w:rsidRPr="00ED5C02">
        <w:rPr>
          <w:i/>
        </w:rPr>
        <w:t>Monumenta</w:t>
      </w:r>
      <w:proofErr w:type="spellEnd"/>
      <w:r w:rsidRPr="00ED5C02">
        <w:rPr>
          <w:i/>
        </w:rPr>
        <w:t xml:space="preserve"> </w:t>
      </w:r>
      <w:proofErr w:type="spellStart"/>
      <w:r w:rsidRPr="00ED5C02">
        <w:rPr>
          <w:i/>
        </w:rPr>
        <w:t>Misonária</w:t>
      </w:r>
      <w:proofErr w:type="spellEnd"/>
      <w:r w:rsidRPr="00ED5C02">
        <w:rPr>
          <w:i/>
        </w:rPr>
        <w:t xml:space="preserve"> </w:t>
      </w:r>
      <w:r w:rsidRPr="0042449E">
        <w:rPr>
          <w:i/>
        </w:rPr>
        <w:t>Africana:</w:t>
      </w:r>
      <w:r w:rsidRPr="00ED5C02">
        <w:t xml:space="preserve"> </w:t>
      </w:r>
      <w:proofErr w:type="spellStart"/>
      <w:r w:rsidRPr="00ED5C02">
        <w:rPr>
          <w:i/>
        </w:rPr>
        <w:t>África</w:t>
      </w:r>
      <w:proofErr w:type="spellEnd"/>
      <w:r w:rsidRPr="00ED5C02">
        <w:rPr>
          <w:i/>
        </w:rPr>
        <w:t xml:space="preserve"> </w:t>
      </w:r>
      <w:proofErr w:type="spellStart"/>
      <w:r w:rsidRPr="00ED5C02">
        <w:rPr>
          <w:i/>
        </w:rPr>
        <w:t>Ocidental</w:t>
      </w:r>
      <w:proofErr w:type="spellEnd"/>
      <w:r w:rsidRPr="00ED5C02">
        <w:t xml:space="preserve"> (Lisbon: </w:t>
      </w:r>
      <w:proofErr w:type="spellStart"/>
      <w:r w:rsidRPr="00ED5C02">
        <w:rPr>
          <w:rFonts w:cs="Times New Roman"/>
        </w:rPr>
        <w:t>Agência</w:t>
      </w:r>
      <w:proofErr w:type="spellEnd"/>
      <w:r w:rsidRPr="00ED5C02">
        <w:rPr>
          <w:rFonts w:cs="Times New Roman"/>
        </w:rPr>
        <w:t xml:space="preserve"> </w:t>
      </w:r>
      <w:proofErr w:type="spellStart"/>
      <w:r w:rsidRPr="00ED5C02">
        <w:rPr>
          <w:rFonts w:cs="Times New Roman"/>
        </w:rPr>
        <w:t>Geral</w:t>
      </w:r>
      <w:proofErr w:type="spellEnd"/>
      <w:r w:rsidRPr="00ED5C02">
        <w:rPr>
          <w:rFonts w:cs="Times New Roman"/>
        </w:rPr>
        <w:t xml:space="preserve"> do Ultramar,</w:t>
      </w:r>
      <w:r w:rsidRPr="00ED5C02">
        <w:t xml:space="preserve"> 19</w:t>
      </w:r>
      <w:r w:rsidR="00743D79">
        <w:t>52-88 – hereafter MMA</w:t>
      </w:r>
      <w:r w:rsidRPr="00ED5C02">
        <w:t>),</w:t>
      </w:r>
      <w:r w:rsidRPr="00ED5C02">
        <w:rPr>
          <w:i/>
        </w:rPr>
        <w:t xml:space="preserve"> </w:t>
      </w:r>
      <w:r w:rsidRPr="00ED5C02">
        <w:t xml:space="preserve">Vol. 2, 79-80; on the economic problems with the trading post at Benin, see </w:t>
      </w:r>
      <w:proofErr w:type="gramStart"/>
      <w:r w:rsidRPr="00ED5C02">
        <w:t>ibid.,</w:t>
      </w:r>
      <w:proofErr w:type="gramEnd"/>
      <w:r w:rsidRPr="00ED5C02">
        <w:t xml:space="preserve"> Vol. 1, 52.</w:t>
      </w:r>
    </w:p>
  </w:footnote>
  <w:footnote w:id="7">
    <w:p w:rsidR="00FA5307" w:rsidRPr="00FA5307" w:rsidRDefault="00FA5307">
      <w:pPr>
        <w:pStyle w:val="FootnoteText"/>
      </w:pPr>
      <w:r>
        <w:rPr>
          <w:rStyle w:val="FootnoteReference"/>
        </w:rPr>
        <w:footnoteRef/>
      </w:r>
      <w:r>
        <w:t xml:space="preserve"> Kathleen Bickford </w:t>
      </w:r>
      <w:proofErr w:type="spellStart"/>
      <w:r>
        <w:t>Berzock</w:t>
      </w:r>
      <w:proofErr w:type="spellEnd"/>
      <w:r>
        <w:t xml:space="preserve">, </w:t>
      </w:r>
      <w:r>
        <w:rPr>
          <w:i/>
        </w:rPr>
        <w:t xml:space="preserve">Benin: Royal Arts of a West African Kingdom </w:t>
      </w:r>
      <w:r>
        <w:t>(</w:t>
      </w:r>
      <w:r w:rsidRPr="00FA5307">
        <w:t>New Haven and London: Yale University Press),</w:t>
      </w:r>
      <w:r>
        <w:t xml:space="preserve"> 5.</w:t>
      </w:r>
    </w:p>
  </w:footnote>
  <w:footnote w:id="8">
    <w:p w:rsidR="00FA5307" w:rsidRPr="00FA5307" w:rsidRDefault="00FA5307">
      <w:pPr>
        <w:pStyle w:val="FootnoteText"/>
      </w:pPr>
      <w:r>
        <w:rPr>
          <w:rStyle w:val="FootnoteReference"/>
        </w:rPr>
        <w:footnoteRef/>
      </w:r>
      <w:r>
        <w:t xml:space="preserve"> For the </w:t>
      </w:r>
      <w:proofErr w:type="spellStart"/>
      <w:r>
        <w:t>manilla</w:t>
      </w:r>
      <w:proofErr w:type="spellEnd"/>
      <w:r>
        <w:t xml:space="preserve"> trade in 1517, see Robert </w:t>
      </w:r>
      <w:r w:rsidRPr="00FA5307">
        <w:t xml:space="preserve">Garfield, </w:t>
      </w:r>
      <w:r w:rsidRPr="00FA5307">
        <w:rPr>
          <w:rFonts w:cs="Times New Roman"/>
          <w:i/>
        </w:rPr>
        <w:t>A History of São Tomé Island, 1470-1655: The Key to Guinea</w:t>
      </w:r>
      <w:r w:rsidRPr="00FA5307">
        <w:rPr>
          <w:rFonts w:cs="Times New Roman"/>
        </w:rPr>
        <w:t xml:space="preserve"> </w:t>
      </w:r>
      <w:r>
        <w:rPr>
          <w:rFonts w:cs="Times New Roman"/>
        </w:rPr>
        <w:t>(</w:t>
      </w:r>
      <w:r w:rsidRPr="00FA5307">
        <w:rPr>
          <w:rFonts w:cs="Times New Roman"/>
        </w:rPr>
        <w:t xml:space="preserve">San Francisco: </w:t>
      </w:r>
      <w:proofErr w:type="spellStart"/>
      <w:r w:rsidRPr="00FA5307">
        <w:rPr>
          <w:rFonts w:cs="Times New Roman"/>
        </w:rPr>
        <w:t>Mellen</w:t>
      </w:r>
      <w:proofErr w:type="spellEnd"/>
      <w:r w:rsidRPr="00FA5307">
        <w:rPr>
          <w:rFonts w:cs="Times New Roman"/>
        </w:rPr>
        <w:t xml:space="preserve"> Research University Press</w:t>
      </w:r>
      <w:r>
        <w:rPr>
          <w:rFonts w:cs="Times New Roman"/>
        </w:rPr>
        <w:t>)</w:t>
      </w:r>
      <w:r w:rsidRPr="00FA5307">
        <w:rPr>
          <w:rFonts w:cs="Times New Roman"/>
        </w:rPr>
        <w:t>,</w:t>
      </w:r>
      <w:r>
        <w:t xml:space="preserve"> 46;</w:t>
      </w:r>
      <w:r w:rsidRPr="00FA5307">
        <w:t xml:space="preserve"> and for the early 1520s see Ryder, </w:t>
      </w:r>
      <w:r w:rsidRPr="00FA5307">
        <w:rPr>
          <w:i/>
        </w:rPr>
        <w:t>Benin and the Europeans</w:t>
      </w:r>
      <w:r>
        <w:t>,</w:t>
      </w:r>
      <w:r w:rsidRPr="00FA5307">
        <w:t xml:space="preserve"> 53, 303.</w:t>
      </w:r>
    </w:p>
  </w:footnote>
  <w:footnote w:id="9">
    <w:p w:rsidR="00915EB6" w:rsidRPr="00420A51" w:rsidRDefault="00915EB6">
      <w:pPr>
        <w:pStyle w:val="FootnoteText"/>
      </w:pPr>
      <w:r>
        <w:rPr>
          <w:rStyle w:val="FootnoteReference"/>
        </w:rPr>
        <w:footnoteRef/>
      </w:r>
      <w:r>
        <w:t xml:space="preserve"> </w:t>
      </w:r>
      <w:proofErr w:type="spellStart"/>
      <w:r>
        <w:t>Berzock</w:t>
      </w:r>
      <w:proofErr w:type="spellEnd"/>
      <w:r>
        <w:t xml:space="preserve">, </w:t>
      </w:r>
      <w:r>
        <w:rPr>
          <w:i/>
        </w:rPr>
        <w:t>Benin</w:t>
      </w:r>
      <w:r>
        <w:t>, 5.</w:t>
      </w:r>
      <w:r w:rsidR="00420A51">
        <w:t xml:space="preserve"> The best recent discussion of the brass casting is Gregor M. </w:t>
      </w:r>
      <w:bookmarkStart w:id="0" w:name="_GoBack"/>
      <w:bookmarkEnd w:id="0"/>
      <w:proofErr w:type="spellStart"/>
      <w:r w:rsidR="00420A51">
        <w:t>Metzig</w:t>
      </w:r>
      <w:proofErr w:type="spellEnd"/>
      <w:r w:rsidR="00420A51">
        <w:t>, “</w:t>
      </w:r>
      <w:r w:rsidR="00420A51">
        <w:rPr>
          <w:rFonts w:cs="Arial"/>
          <w:bCs/>
          <w:lang w:val="en-US" w:eastAsia="de-DE"/>
        </w:rPr>
        <w:t>Corals, brass and firearms:</w:t>
      </w:r>
      <w:r w:rsidR="00420A51">
        <w:rPr>
          <w:rFonts w:cs="Arial"/>
          <w:bCs/>
          <w:lang w:val="en-US" w:eastAsia="de-DE"/>
        </w:rPr>
        <w:t xml:space="preserve"> Material commodities in cultural interactions betw</w:t>
      </w:r>
      <w:r w:rsidR="00420A51">
        <w:rPr>
          <w:rFonts w:cs="Arial"/>
          <w:bCs/>
          <w:lang w:val="en-US" w:eastAsia="de-DE"/>
        </w:rPr>
        <w:t xml:space="preserve">een Edo and Portuguese in Benin”, in Harriet Rudolph and </w:t>
      </w:r>
      <w:proofErr w:type="spellStart"/>
      <w:r w:rsidR="00420A51">
        <w:rPr>
          <w:rFonts w:cs="Arial"/>
          <w:bCs/>
          <w:lang w:val="en-US" w:eastAsia="de-DE"/>
        </w:rPr>
        <w:t>Gregor</w:t>
      </w:r>
      <w:proofErr w:type="spellEnd"/>
      <w:r w:rsidR="00420A51">
        <w:rPr>
          <w:rFonts w:cs="Arial"/>
          <w:bCs/>
          <w:lang w:val="en-US" w:eastAsia="de-DE"/>
        </w:rPr>
        <w:t xml:space="preserve"> M. </w:t>
      </w:r>
      <w:proofErr w:type="spellStart"/>
      <w:r w:rsidR="00420A51">
        <w:rPr>
          <w:rFonts w:cs="Arial"/>
          <w:bCs/>
          <w:lang w:val="en-US" w:eastAsia="de-DE"/>
        </w:rPr>
        <w:t>Metzig</w:t>
      </w:r>
      <w:proofErr w:type="spellEnd"/>
      <w:r w:rsidR="00420A51">
        <w:rPr>
          <w:rFonts w:cs="Arial"/>
          <w:bCs/>
          <w:lang w:val="en-US" w:eastAsia="de-DE"/>
        </w:rPr>
        <w:t xml:space="preserve"> (eds.), </w:t>
      </w:r>
      <w:r w:rsidR="00420A51" w:rsidRPr="00420A51">
        <w:rPr>
          <w:rFonts w:cs="Arial"/>
          <w:bCs/>
          <w:i/>
          <w:lang w:eastAsia="de-DE"/>
        </w:rPr>
        <w:t>Entangled Objects and Hybrid Practices? The Material Culture of Transcultural Diplomacy</w:t>
      </w:r>
      <w:r w:rsidR="00420A51">
        <w:rPr>
          <w:rFonts w:cs="Arial"/>
          <w:bCs/>
          <w:i/>
          <w:lang w:eastAsia="de-DE"/>
        </w:rPr>
        <w:t xml:space="preserve"> </w:t>
      </w:r>
      <w:r w:rsidR="00420A51">
        <w:rPr>
          <w:rFonts w:cs="Arial"/>
          <w:bCs/>
          <w:lang w:eastAsia="de-DE"/>
        </w:rPr>
        <w:t>(</w:t>
      </w:r>
      <w:proofErr w:type="spellStart"/>
      <w:r w:rsidR="00420A51" w:rsidRPr="00420A51">
        <w:rPr>
          <w:rFonts w:cs="Arial"/>
          <w:bCs/>
        </w:rPr>
        <w:t>Göttingen</w:t>
      </w:r>
      <w:proofErr w:type="spellEnd"/>
      <w:r w:rsidR="00420A51" w:rsidRPr="00420A51">
        <w:rPr>
          <w:rFonts w:cs="Arial"/>
          <w:bCs/>
        </w:rPr>
        <w:t>: European History Yearbook 107, 2016).</w:t>
      </w:r>
    </w:p>
  </w:footnote>
  <w:footnote w:id="10">
    <w:p w:rsidR="00274E57" w:rsidRPr="00274E57" w:rsidRDefault="00274E57">
      <w:pPr>
        <w:pStyle w:val="FootnoteText"/>
      </w:pPr>
      <w:r>
        <w:rPr>
          <w:rStyle w:val="FootnoteReference"/>
        </w:rPr>
        <w:footnoteRef/>
      </w:r>
      <w:r>
        <w:t xml:space="preserve"> Willem Bosman, </w:t>
      </w:r>
      <w:r>
        <w:rPr>
          <w:i/>
        </w:rPr>
        <w:t>A New and Accurate Description of the Coast of Guinea, Divided into the Gold, Slave, and the Ivory Coasts</w:t>
      </w:r>
      <w:r w:rsidR="00C25BE3">
        <w:t xml:space="preserve"> (London: F</w:t>
      </w:r>
      <w:r>
        <w:t>rank Cass &amp; Co, 1969; first published 1705), 436.</w:t>
      </w:r>
    </w:p>
  </w:footnote>
  <w:footnote w:id="11">
    <w:p w:rsidR="00990863" w:rsidRDefault="00990863">
      <w:pPr>
        <w:pStyle w:val="FootnoteText"/>
      </w:pPr>
      <w:r>
        <w:rPr>
          <w:rStyle w:val="FootnoteReference"/>
        </w:rPr>
        <w:footnoteRef/>
      </w:r>
      <w:r>
        <w:t xml:space="preserve"> H. Ling Roth, </w:t>
      </w:r>
      <w:r>
        <w:rPr>
          <w:i/>
        </w:rPr>
        <w:t xml:space="preserve">Great Benin: Its Customs, Art and Horrors </w:t>
      </w:r>
      <w:r>
        <w:t>(London: Routledge &amp; Kegan Paul, 1968; first published in 1903), 95.</w:t>
      </w:r>
    </w:p>
  </w:footnote>
  <w:footnote w:id="12">
    <w:p w:rsidR="00743D79" w:rsidRPr="00743D79" w:rsidRDefault="00743D79">
      <w:pPr>
        <w:pStyle w:val="FootnoteText"/>
      </w:pPr>
      <w:r>
        <w:rPr>
          <w:rStyle w:val="FootnoteReference"/>
        </w:rPr>
        <w:footnoteRef/>
      </w:r>
      <w:proofErr w:type="gramStart"/>
      <w:r w:rsidR="00990863">
        <w:t>Ibid.,</w:t>
      </w:r>
      <w:proofErr w:type="gramEnd"/>
      <w:r w:rsidR="00990863">
        <w:t xml:space="preserve"> 93</w:t>
      </w:r>
      <w:r>
        <w:t>.</w:t>
      </w:r>
    </w:p>
  </w:footnote>
  <w:footnote w:id="13">
    <w:p w:rsidR="00274E57" w:rsidRDefault="00274E57">
      <w:pPr>
        <w:pStyle w:val="FootnoteText"/>
      </w:pPr>
      <w:r>
        <w:rPr>
          <w:rStyle w:val="FootnoteReference"/>
        </w:rPr>
        <w:footnoteRef/>
      </w:r>
      <w:r>
        <w:t xml:space="preserve"> </w:t>
      </w:r>
      <w:r w:rsidR="00102169">
        <w:t xml:space="preserve">Bosman, </w:t>
      </w:r>
      <w:proofErr w:type="gramStart"/>
      <w:r w:rsidR="00102169">
        <w:rPr>
          <w:i/>
        </w:rPr>
        <w:t>A</w:t>
      </w:r>
      <w:proofErr w:type="gramEnd"/>
      <w:r w:rsidR="00102169">
        <w:rPr>
          <w:i/>
        </w:rPr>
        <w:t xml:space="preserve"> New and Accurate Description</w:t>
      </w:r>
      <w:r>
        <w:t>, 437.</w:t>
      </w:r>
    </w:p>
  </w:footnote>
  <w:footnote w:id="14">
    <w:p w:rsidR="006B3CF3" w:rsidRPr="006B3CF3" w:rsidRDefault="006B3CF3">
      <w:pPr>
        <w:pStyle w:val="FootnoteText"/>
      </w:pPr>
      <w:r>
        <w:rPr>
          <w:rStyle w:val="FootnoteReference"/>
        </w:rPr>
        <w:footnoteRef/>
      </w:r>
      <w:r>
        <w:t xml:space="preserve"> </w:t>
      </w:r>
      <w:proofErr w:type="spellStart"/>
      <w:r>
        <w:t>Akinwumi</w:t>
      </w:r>
      <w:proofErr w:type="spellEnd"/>
      <w:r>
        <w:t xml:space="preserve"> </w:t>
      </w:r>
      <w:proofErr w:type="spellStart"/>
      <w:r>
        <w:t>Ogundiran</w:t>
      </w:r>
      <w:proofErr w:type="spellEnd"/>
      <w:r>
        <w:t xml:space="preserve">, “Of Small Things Remembered: Beads, Cowries, and Cultural Translations of the Atlantic Experience in Yorubaland”, </w:t>
      </w:r>
      <w:r>
        <w:rPr>
          <w:i/>
        </w:rPr>
        <w:t>International Journal of African Historical Studies 35/2-3</w:t>
      </w:r>
      <w:r>
        <w:t xml:space="preserve"> (2002), 433-4.</w:t>
      </w:r>
    </w:p>
  </w:footnote>
  <w:footnote w:id="15">
    <w:p w:rsidR="006B3CF3" w:rsidRPr="006B3CF3" w:rsidRDefault="006B3CF3" w:rsidP="006B3CF3">
      <w:pPr>
        <w:spacing w:line="240" w:lineRule="auto"/>
        <w:contextualSpacing/>
        <w:jc w:val="both"/>
        <w:rPr>
          <w:sz w:val="20"/>
          <w:szCs w:val="20"/>
        </w:rPr>
      </w:pPr>
      <w:r w:rsidRPr="006B3CF3">
        <w:rPr>
          <w:rStyle w:val="FootnoteReference"/>
          <w:sz w:val="20"/>
          <w:szCs w:val="20"/>
        </w:rPr>
        <w:footnoteRef/>
      </w:r>
      <w:r w:rsidRPr="006B3CF3">
        <w:rPr>
          <w:sz w:val="20"/>
          <w:szCs w:val="20"/>
        </w:rPr>
        <w:t xml:space="preserve"> Adam Jones (ed. and trans.), </w:t>
      </w:r>
      <w:r w:rsidRPr="006B3CF3">
        <w:rPr>
          <w:rFonts w:cs="Times New Roman"/>
          <w:i/>
          <w:sz w:val="20"/>
          <w:szCs w:val="20"/>
        </w:rPr>
        <w:t>German Sources for West African History 1599-1669</w:t>
      </w:r>
      <w:r>
        <w:rPr>
          <w:rFonts w:cs="Times New Roman"/>
          <w:sz w:val="20"/>
          <w:szCs w:val="20"/>
        </w:rPr>
        <w:t xml:space="preserve"> (</w:t>
      </w:r>
      <w:r w:rsidRPr="006B3CF3">
        <w:rPr>
          <w:rFonts w:cs="Times New Roman"/>
          <w:sz w:val="20"/>
          <w:szCs w:val="20"/>
        </w:rPr>
        <w:t xml:space="preserve">Wiesbaden: Franz Steiner </w:t>
      </w:r>
      <w:proofErr w:type="spellStart"/>
      <w:r w:rsidRPr="006B3CF3">
        <w:rPr>
          <w:rFonts w:cs="Times New Roman"/>
          <w:sz w:val="20"/>
          <w:szCs w:val="20"/>
        </w:rPr>
        <w:t>Verlag</w:t>
      </w:r>
      <w:proofErr w:type="spellEnd"/>
      <w:r w:rsidRPr="006B3CF3">
        <w:rPr>
          <w:rFonts w:cs="Times New Roman"/>
          <w:sz w:val="20"/>
          <w:szCs w:val="20"/>
        </w:rPr>
        <w:t xml:space="preserve"> GMBH, </w:t>
      </w:r>
      <w:r w:rsidRPr="006B3CF3">
        <w:rPr>
          <w:sz w:val="20"/>
          <w:szCs w:val="20"/>
        </w:rPr>
        <w:t>1983), 38</w:t>
      </w:r>
      <w:r>
        <w:rPr>
          <w:sz w:val="20"/>
          <w:szCs w:val="20"/>
        </w:rPr>
        <w:t>.</w:t>
      </w:r>
    </w:p>
  </w:footnote>
  <w:footnote w:id="16">
    <w:p w:rsidR="00743D79" w:rsidRPr="0090141A" w:rsidRDefault="00743D79">
      <w:pPr>
        <w:pStyle w:val="FootnoteText"/>
        <w:rPr>
          <w:lang w:val="pt-BR"/>
        </w:rPr>
      </w:pPr>
      <w:r>
        <w:rPr>
          <w:rStyle w:val="FootnoteReference"/>
        </w:rPr>
        <w:footnoteRef/>
      </w:r>
      <w:r w:rsidRPr="0090141A">
        <w:rPr>
          <w:lang w:val="pt-BR"/>
        </w:rPr>
        <w:t xml:space="preserve"> MMA, Vol. 4, 619-20.</w:t>
      </w:r>
    </w:p>
  </w:footnote>
  <w:footnote w:id="17">
    <w:p w:rsidR="00743D79" w:rsidRPr="00743D79" w:rsidRDefault="00743D79">
      <w:pPr>
        <w:pStyle w:val="FootnoteText"/>
        <w:rPr>
          <w:lang w:val="pt-BR"/>
        </w:rPr>
      </w:pPr>
      <w:r>
        <w:rPr>
          <w:rStyle w:val="FootnoteReference"/>
        </w:rPr>
        <w:footnoteRef/>
      </w:r>
      <w:r w:rsidRPr="00743D79">
        <w:rPr>
          <w:lang w:val="pt-BR"/>
        </w:rPr>
        <w:t xml:space="preserve"> </w:t>
      </w:r>
      <w:r w:rsidRPr="00743D79">
        <w:rPr>
          <w:i/>
          <w:lang w:val="pt-BR"/>
        </w:rPr>
        <w:t>Ásia de João de Barros: Primeira D</w:t>
      </w:r>
      <w:r>
        <w:rPr>
          <w:i/>
          <w:lang w:val="pt-BR"/>
        </w:rPr>
        <w:t>é</w:t>
      </w:r>
      <w:r w:rsidRPr="00743D79">
        <w:rPr>
          <w:i/>
          <w:lang w:val="pt-BR"/>
        </w:rPr>
        <w:t>cada</w:t>
      </w:r>
      <w:r>
        <w:rPr>
          <w:i/>
          <w:lang w:val="pt-BR"/>
        </w:rPr>
        <w:t xml:space="preserve"> </w:t>
      </w:r>
      <w:r>
        <w:rPr>
          <w:lang w:val="pt-BR"/>
        </w:rPr>
        <w:t>(Lisbon: Agência Geral das Colónias, 1945), 90.</w:t>
      </w:r>
    </w:p>
  </w:footnote>
  <w:footnote w:id="18">
    <w:p w:rsidR="00BE3EF9" w:rsidRPr="0090141A" w:rsidRDefault="00BE3EF9">
      <w:pPr>
        <w:pStyle w:val="FootnoteText"/>
        <w:rPr>
          <w:lang w:val="es-ES"/>
        </w:rPr>
      </w:pPr>
      <w:r>
        <w:rPr>
          <w:rStyle w:val="FootnoteReference"/>
        </w:rPr>
        <w:footnoteRef/>
      </w:r>
      <w:r w:rsidRPr="0090141A">
        <w:rPr>
          <w:lang w:val="es-ES"/>
        </w:rPr>
        <w:t xml:space="preserve"> Jones, </w:t>
      </w:r>
      <w:r w:rsidRPr="0090141A">
        <w:rPr>
          <w:i/>
          <w:lang w:val="es-ES"/>
        </w:rPr>
        <w:t xml:space="preserve">German </w:t>
      </w:r>
      <w:proofErr w:type="spellStart"/>
      <w:r w:rsidRPr="0090141A">
        <w:rPr>
          <w:i/>
          <w:lang w:val="es-ES"/>
        </w:rPr>
        <w:t>Sources</w:t>
      </w:r>
      <w:proofErr w:type="spellEnd"/>
      <w:r w:rsidRPr="0090141A">
        <w:rPr>
          <w:lang w:val="es-ES"/>
        </w:rPr>
        <w:t>, 30.</w:t>
      </w:r>
    </w:p>
  </w:footnote>
  <w:footnote w:id="19">
    <w:p w:rsidR="00896BCF" w:rsidRPr="00896BCF" w:rsidRDefault="00896BCF">
      <w:pPr>
        <w:pStyle w:val="FootnoteText"/>
        <w:rPr>
          <w:lang w:val="es-ES"/>
        </w:rPr>
      </w:pPr>
      <w:r>
        <w:rPr>
          <w:rStyle w:val="FootnoteReference"/>
        </w:rPr>
        <w:footnoteRef/>
      </w:r>
      <w:r w:rsidRPr="00896BCF">
        <w:rPr>
          <w:lang w:val="es-ES"/>
        </w:rPr>
        <w:t xml:space="preserve"> Mateo de Anguiano, </w:t>
      </w:r>
      <w:r w:rsidRPr="00896BCF">
        <w:rPr>
          <w:i/>
          <w:lang w:val="es-ES"/>
        </w:rPr>
        <w:t>Misiones Capuchinas en África</w:t>
      </w:r>
      <w:r>
        <w:rPr>
          <w:lang w:val="es-ES"/>
        </w:rPr>
        <w:t xml:space="preserve"> (Madrid: Consejo Superior de Investigaciones Científicas, 1957), Vol. 2, 34.</w:t>
      </w:r>
    </w:p>
  </w:footnote>
  <w:footnote w:id="20">
    <w:p w:rsidR="00FC1DA0" w:rsidRPr="00FC1DA0" w:rsidRDefault="00FC1DA0">
      <w:pPr>
        <w:pStyle w:val="FootnoteText"/>
      </w:pPr>
      <w:r>
        <w:rPr>
          <w:rStyle w:val="FootnoteReference"/>
        </w:rPr>
        <w:footnoteRef/>
      </w:r>
      <w:r>
        <w:t xml:space="preserve"> John </w:t>
      </w:r>
      <w:proofErr w:type="spellStart"/>
      <w:r>
        <w:t>Ogilby</w:t>
      </w:r>
      <w:proofErr w:type="spellEnd"/>
      <w:r>
        <w:t xml:space="preserve"> (ed. and tr.), </w:t>
      </w:r>
      <w:proofErr w:type="spellStart"/>
      <w:r>
        <w:rPr>
          <w:i/>
        </w:rPr>
        <w:t>Olfert</w:t>
      </w:r>
      <w:proofErr w:type="spellEnd"/>
      <w:r>
        <w:rPr>
          <w:i/>
        </w:rPr>
        <w:t xml:space="preserve"> Dapper: Africa, Being an Accurate Description of…</w:t>
      </w:r>
      <w:r>
        <w:t xml:space="preserve"> (London: </w:t>
      </w:r>
      <w:proofErr w:type="spellStart"/>
      <w:r>
        <w:t>Tho</w:t>
      </w:r>
      <w:proofErr w:type="spellEnd"/>
      <w:r>
        <w:t>. Johnson, 1670), 472.</w:t>
      </w:r>
    </w:p>
  </w:footnote>
  <w:footnote w:id="21">
    <w:p w:rsidR="00665DB7" w:rsidRPr="00665DB7" w:rsidRDefault="00665DB7">
      <w:pPr>
        <w:pStyle w:val="FootnoteText"/>
      </w:pPr>
      <w:r>
        <w:rPr>
          <w:rStyle w:val="FootnoteReference"/>
        </w:rPr>
        <w:footnoteRef/>
      </w:r>
      <w:r>
        <w:t xml:space="preserve"> </w:t>
      </w:r>
      <w:r w:rsidR="00843E77">
        <w:t xml:space="preserve">Bosman, </w:t>
      </w:r>
      <w:proofErr w:type="gramStart"/>
      <w:r w:rsidR="00843E77">
        <w:rPr>
          <w:i/>
        </w:rPr>
        <w:t>A</w:t>
      </w:r>
      <w:proofErr w:type="gramEnd"/>
      <w:r w:rsidR="00843E77">
        <w:rPr>
          <w:i/>
        </w:rPr>
        <w:t xml:space="preserve"> New and Accurate Description</w:t>
      </w:r>
      <w:r w:rsidR="00843E77">
        <w:t>, 464;</w:t>
      </w:r>
      <w:r w:rsidR="00843E77">
        <w:rPr>
          <w:i/>
        </w:rPr>
        <w:t xml:space="preserve"> </w:t>
      </w:r>
      <w:r>
        <w:t xml:space="preserve">Roth, </w:t>
      </w:r>
      <w:r>
        <w:rPr>
          <w:i/>
        </w:rPr>
        <w:t>Great Benin</w:t>
      </w:r>
      <w:r>
        <w:t>, 92.</w:t>
      </w:r>
    </w:p>
  </w:footnote>
  <w:footnote w:id="22">
    <w:p w:rsidR="00A84978" w:rsidRPr="00A84978" w:rsidRDefault="00A84978">
      <w:pPr>
        <w:pStyle w:val="FootnoteText"/>
      </w:pPr>
      <w:r>
        <w:rPr>
          <w:rStyle w:val="FootnoteReference"/>
        </w:rPr>
        <w:footnoteRef/>
      </w:r>
      <w:r>
        <w:t xml:space="preserve"> Mary Kingsley, </w:t>
      </w:r>
      <w:r>
        <w:rPr>
          <w:i/>
        </w:rPr>
        <w:t xml:space="preserve">Travels in West Africa: Congo </w:t>
      </w:r>
      <w:proofErr w:type="spellStart"/>
      <w:r>
        <w:rPr>
          <w:i/>
        </w:rPr>
        <w:t>Français</w:t>
      </w:r>
      <w:proofErr w:type="spellEnd"/>
      <w:r>
        <w:rPr>
          <w:i/>
        </w:rPr>
        <w:t xml:space="preserve">, </w:t>
      </w:r>
      <w:proofErr w:type="spellStart"/>
      <w:r>
        <w:rPr>
          <w:i/>
        </w:rPr>
        <w:t>Corisco</w:t>
      </w:r>
      <w:proofErr w:type="spellEnd"/>
      <w:r>
        <w:rPr>
          <w:i/>
        </w:rPr>
        <w:t>, and Cameroons</w:t>
      </w:r>
      <w:r>
        <w:t xml:space="preserve"> (</w:t>
      </w:r>
      <w:proofErr w:type="gramStart"/>
      <w:r>
        <w:t>London :</w:t>
      </w:r>
      <w:proofErr w:type="gramEnd"/>
      <w:r>
        <w:t xml:space="preserve"> Penguin, 2015), 538; first published 1897.</w:t>
      </w:r>
    </w:p>
  </w:footnote>
  <w:footnote w:id="23">
    <w:p w:rsidR="0090141A" w:rsidRPr="0090141A" w:rsidRDefault="0090141A">
      <w:pPr>
        <w:pStyle w:val="FootnoteText"/>
      </w:pPr>
      <w:r>
        <w:rPr>
          <w:rStyle w:val="FootnoteReference"/>
        </w:rPr>
        <w:footnoteRef/>
      </w:r>
      <w:r>
        <w:t xml:space="preserve"> Robin Law, </w:t>
      </w:r>
      <w:proofErr w:type="gramStart"/>
      <w:r>
        <w:rPr>
          <w:i/>
        </w:rPr>
        <w:t>The</w:t>
      </w:r>
      <w:proofErr w:type="gramEnd"/>
      <w:r>
        <w:rPr>
          <w:i/>
        </w:rPr>
        <w:t xml:space="preserve"> Kingdom of </w:t>
      </w:r>
      <w:proofErr w:type="spellStart"/>
      <w:r>
        <w:rPr>
          <w:i/>
        </w:rPr>
        <w:t>Allada</w:t>
      </w:r>
      <w:proofErr w:type="spellEnd"/>
      <w:r>
        <w:t xml:space="preserve"> (Leiden: CNWS, 1997), 65-6, 82.</w:t>
      </w:r>
    </w:p>
  </w:footnote>
  <w:footnote w:id="24">
    <w:p w:rsidR="00E97554" w:rsidRPr="002D6403" w:rsidRDefault="00E97554" w:rsidP="00E97554">
      <w:pPr>
        <w:pStyle w:val="FootnoteText"/>
      </w:pPr>
      <w:r>
        <w:rPr>
          <w:rStyle w:val="FootnoteReference"/>
        </w:rPr>
        <w:footnoteRef/>
      </w:r>
      <w:r>
        <w:t xml:space="preserve"> On the origins of </w:t>
      </w:r>
      <w:proofErr w:type="spellStart"/>
      <w:r>
        <w:t>Dahomey</w:t>
      </w:r>
      <w:proofErr w:type="spellEnd"/>
      <w:r>
        <w:t xml:space="preserve"> and the early history of </w:t>
      </w:r>
      <w:proofErr w:type="spellStart"/>
      <w:r>
        <w:t>Allada</w:t>
      </w:r>
      <w:proofErr w:type="spellEnd"/>
      <w:r>
        <w:t xml:space="preserve">, see </w:t>
      </w:r>
      <w:proofErr w:type="gramStart"/>
      <w:r>
        <w:t>ibid.,</w:t>
      </w:r>
      <w:proofErr w:type="gramEnd"/>
      <w:r>
        <w:t xml:space="preserve"> and also IA </w:t>
      </w:r>
      <w:proofErr w:type="spellStart"/>
      <w:r>
        <w:t>Akinjogbin</w:t>
      </w:r>
      <w:proofErr w:type="spellEnd"/>
      <w:r>
        <w:t xml:space="preserve">, </w:t>
      </w:r>
      <w:proofErr w:type="spellStart"/>
      <w:r>
        <w:rPr>
          <w:i/>
        </w:rPr>
        <w:t>Dahomey</w:t>
      </w:r>
      <w:proofErr w:type="spellEnd"/>
      <w:r>
        <w:rPr>
          <w:i/>
        </w:rPr>
        <w:t xml:space="preserve"> and its Neighbours: 1708-1818</w:t>
      </w:r>
      <w:r>
        <w:t xml:space="preserve"> (Cambridge: Cambridge University Press, 1967), 22.</w:t>
      </w:r>
    </w:p>
  </w:footnote>
  <w:footnote w:id="25">
    <w:p w:rsidR="001F364D" w:rsidRPr="001F364D" w:rsidRDefault="001F364D">
      <w:pPr>
        <w:pStyle w:val="FootnoteText"/>
        <w:rPr>
          <w:lang w:val="pt-BR"/>
        </w:rPr>
      </w:pPr>
      <w:r>
        <w:rPr>
          <w:rStyle w:val="FootnoteReference"/>
        </w:rPr>
        <w:footnoteRef/>
      </w:r>
      <w:r w:rsidRPr="001F364D">
        <w:rPr>
          <w:lang w:val="pt-BR"/>
        </w:rPr>
        <w:t xml:space="preserve"> Arquivo Histórico Ultramarino (</w:t>
      </w:r>
      <w:r w:rsidR="00190B0D">
        <w:rPr>
          <w:lang w:val="pt-BR"/>
        </w:rPr>
        <w:t>Lisbon - hereafter AHU</w:t>
      </w:r>
      <w:r w:rsidRPr="001F364D">
        <w:rPr>
          <w:lang w:val="pt-BR"/>
        </w:rPr>
        <w:t>), Conselho Ultramarino</w:t>
      </w:r>
      <w:r w:rsidR="00190B0D">
        <w:rPr>
          <w:lang w:val="pt-BR"/>
        </w:rPr>
        <w:t xml:space="preserve"> (hereafter CU)</w:t>
      </w:r>
      <w:r w:rsidRPr="001F364D">
        <w:rPr>
          <w:lang w:val="pt-BR"/>
        </w:rPr>
        <w:t xml:space="preserve">, </w:t>
      </w:r>
      <w:r>
        <w:rPr>
          <w:lang w:val="pt-BR"/>
        </w:rPr>
        <w:t>Bahia, Caixa 213, Doc. 12, fol. 2r.</w:t>
      </w:r>
    </w:p>
  </w:footnote>
  <w:footnote w:id="26">
    <w:p w:rsidR="006B765B" w:rsidRPr="006B765B" w:rsidRDefault="006B765B">
      <w:pPr>
        <w:pStyle w:val="FootnoteText"/>
        <w:rPr>
          <w:lang w:val="pt-BR"/>
        </w:rPr>
      </w:pPr>
      <w:r>
        <w:rPr>
          <w:rStyle w:val="FootnoteReference"/>
        </w:rPr>
        <w:footnoteRef/>
      </w:r>
      <w:r w:rsidRPr="006B765B">
        <w:rPr>
          <w:lang w:val="pt-BR"/>
        </w:rPr>
        <w:t xml:space="preserve"> </w:t>
      </w:r>
      <w:r>
        <w:rPr>
          <w:lang w:val="pt-BR"/>
        </w:rPr>
        <w:t>Clado Ribeiro de Lessa (ed.)</w:t>
      </w:r>
      <w:r w:rsidRPr="00E336D7">
        <w:rPr>
          <w:lang w:val="pt-BR"/>
        </w:rPr>
        <w:t xml:space="preserve">, </w:t>
      </w:r>
      <w:r w:rsidRPr="00E336D7">
        <w:rPr>
          <w:i/>
          <w:lang w:val="pt-BR"/>
        </w:rPr>
        <w:t xml:space="preserve">Viagem de África em o Reino de Dahomé, escrito pelo Padre Vicente Ferreira Pires no ano de 1800 e até agora </w:t>
      </w:r>
      <w:r>
        <w:rPr>
          <w:i/>
          <w:lang w:val="pt-BR"/>
        </w:rPr>
        <w:t>Inédito</w:t>
      </w:r>
      <w:r>
        <w:rPr>
          <w:lang w:val="pt-BR"/>
        </w:rPr>
        <w:t xml:space="preserve"> (São Paulo: Companhia Editora Nacional, 1957), 31.</w:t>
      </w:r>
    </w:p>
  </w:footnote>
  <w:footnote w:id="27">
    <w:p w:rsidR="0066261E" w:rsidRPr="0066261E" w:rsidRDefault="0066261E">
      <w:pPr>
        <w:pStyle w:val="FootnoteText"/>
      </w:pPr>
      <w:r>
        <w:rPr>
          <w:rStyle w:val="FootnoteReference"/>
        </w:rPr>
        <w:footnoteRef/>
      </w:r>
      <w:r>
        <w:t xml:space="preserve"> </w:t>
      </w:r>
      <w:proofErr w:type="spellStart"/>
      <w:r>
        <w:t>Akinjogbin</w:t>
      </w:r>
      <w:proofErr w:type="spellEnd"/>
      <w:r>
        <w:t xml:space="preserve">, </w:t>
      </w:r>
      <w:proofErr w:type="spellStart"/>
      <w:r>
        <w:rPr>
          <w:i/>
        </w:rPr>
        <w:t>Dahomey</w:t>
      </w:r>
      <w:proofErr w:type="spellEnd"/>
      <w:r>
        <w:rPr>
          <w:i/>
        </w:rPr>
        <w:t xml:space="preserve"> and its Neighbours</w:t>
      </w:r>
      <w:r>
        <w:t>, 11-17.</w:t>
      </w:r>
    </w:p>
  </w:footnote>
  <w:footnote w:id="28">
    <w:p w:rsidR="00720AC4" w:rsidRPr="00720AC4" w:rsidRDefault="00720AC4">
      <w:pPr>
        <w:pStyle w:val="FootnoteText"/>
      </w:pPr>
      <w:r>
        <w:rPr>
          <w:rStyle w:val="FootnoteReference"/>
        </w:rPr>
        <w:footnoteRef/>
      </w:r>
      <w:r>
        <w:t xml:space="preserve"> Bosman, </w:t>
      </w:r>
      <w:proofErr w:type="gramStart"/>
      <w:r>
        <w:rPr>
          <w:i/>
        </w:rPr>
        <w:t>A</w:t>
      </w:r>
      <w:proofErr w:type="gramEnd"/>
      <w:r>
        <w:rPr>
          <w:i/>
        </w:rPr>
        <w:t xml:space="preserve"> New And Accurate Description</w:t>
      </w:r>
      <w:r>
        <w:t>, 363.</w:t>
      </w:r>
    </w:p>
  </w:footnote>
  <w:footnote w:id="29">
    <w:p w:rsidR="00F37962" w:rsidRDefault="00F37962">
      <w:pPr>
        <w:pStyle w:val="FootnoteText"/>
      </w:pPr>
      <w:r>
        <w:rPr>
          <w:rStyle w:val="FootnoteReference"/>
        </w:rPr>
        <w:footnoteRef/>
      </w:r>
      <w:r>
        <w:t xml:space="preserve"> Adam Jones (ed. and trans.), </w:t>
      </w:r>
      <w:r>
        <w:rPr>
          <w:i/>
        </w:rPr>
        <w:t>Brandenburg Sources for West African History, 1680-1700</w:t>
      </w:r>
      <w:r>
        <w:t xml:space="preserve"> (Stuttgart: Franz Steiner </w:t>
      </w:r>
      <w:proofErr w:type="spellStart"/>
      <w:r>
        <w:t>Verlag</w:t>
      </w:r>
      <w:proofErr w:type="spellEnd"/>
      <w:r>
        <w:t xml:space="preserve"> Wiesbaden GMBH 1985), 195</w:t>
      </w:r>
      <w:r w:rsidR="00200CB2">
        <w:t>.</w:t>
      </w:r>
    </w:p>
  </w:footnote>
  <w:footnote w:id="30">
    <w:p w:rsidR="004676AB" w:rsidRPr="004676AB" w:rsidRDefault="004676AB">
      <w:pPr>
        <w:pStyle w:val="FootnoteText"/>
      </w:pPr>
      <w:r>
        <w:rPr>
          <w:rStyle w:val="FootnoteReference"/>
        </w:rPr>
        <w:footnoteRef/>
      </w:r>
      <w:r w:rsidRPr="004676AB">
        <w:t xml:space="preserve"> </w:t>
      </w:r>
      <w:r w:rsidRPr="00085987">
        <w:t>Rober</w:t>
      </w:r>
      <w:r>
        <w:t>t</w:t>
      </w:r>
      <w:r w:rsidRPr="00085987">
        <w:t xml:space="preserve"> Norris, </w:t>
      </w:r>
      <w:r w:rsidRPr="00085987">
        <w:rPr>
          <w:i/>
        </w:rPr>
        <w:t xml:space="preserve">Memoirs of the Reign of </w:t>
      </w:r>
      <w:proofErr w:type="spellStart"/>
      <w:r w:rsidRPr="00085987">
        <w:rPr>
          <w:i/>
        </w:rPr>
        <w:t>Bossa</w:t>
      </w:r>
      <w:proofErr w:type="spellEnd"/>
      <w:r w:rsidRPr="00085987">
        <w:rPr>
          <w:i/>
        </w:rPr>
        <w:t xml:space="preserve"> </w:t>
      </w:r>
      <w:proofErr w:type="spellStart"/>
      <w:r w:rsidRPr="00085987">
        <w:rPr>
          <w:i/>
        </w:rPr>
        <w:t>Ahádee</w:t>
      </w:r>
      <w:proofErr w:type="spellEnd"/>
      <w:r w:rsidRPr="00085987">
        <w:rPr>
          <w:i/>
        </w:rPr>
        <w:t xml:space="preserve">, King of </w:t>
      </w:r>
      <w:proofErr w:type="spellStart"/>
      <w:r w:rsidRPr="00085987">
        <w:rPr>
          <w:i/>
        </w:rPr>
        <w:t>Dahomy</w:t>
      </w:r>
      <w:proofErr w:type="spellEnd"/>
      <w:r w:rsidRPr="00085987">
        <w:rPr>
          <w:i/>
        </w:rPr>
        <w:t xml:space="preserve"> an Inland Country of Guiney, to which are adde</w:t>
      </w:r>
      <w:r>
        <w:rPr>
          <w:i/>
        </w:rPr>
        <w:t>d</w:t>
      </w:r>
      <w:r w:rsidRPr="00085987">
        <w:rPr>
          <w:i/>
        </w:rPr>
        <w:t xml:space="preserve"> the author’s journey to Abomey, the Capital, and a short account of the African Slave Trade </w:t>
      </w:r>
      <w:r>
        <w:t>(London: Frank Cass &amp; Co., 1968; first published 1789), 125.</w:t>
      </w:r>
    </w:p>
  </w:footnote>
  <w:footnote w:id="31">
    <w:p w:rsidR="0065145B" w:rsidRPr="0065145B" w:rsidRDefault="0065145B">
      <w:pPr>
        <w:pStyle w:val="FootnoteText"/>
        <w:rPr>
          <w:lang w:val="pt-BR"/>
        </w:rPr>
      </w:pPr>
      <w:r>
        <w:rPr>
          <w:rStyle w:val="FootnoteReference"/>
        </w:rPr>
        <w:footnoteRef/>
      </w:r>
      <w:r w:rsidRPr="0065145B">
        <w:rPr>
          <w:lang w:val="pt-BR"/>
        </w:rPr>
        <w:t xml:space="preserve"> </w:t>
      </w:r>
      <w:r>
        <w:rPr>
          <w:lang w:val="pt-BR"/>
        </w:rPr>
        <w:t>Ibid., ix.</w:t>
      </w:r>
    </w:p>
  </w:footnote>
  <w:footnote w:id="32">
    <w:p w:rsidR="00E336D7" w:rsidRPr="00E336D7" w:rsidRDefault="00E336D7">
      <w:pPr>
        <w:pStyle w:val="FootnoteText"/>
        <w:rPr>
          <w:lang w:val="pt-BR"/>
        </w:rPr>
      </w:pPr>
      <w:r>
        <w:rPr>
          <w:rStyle w:val="FootnoteReference"/>
        </w:rPr>
        <w:footnoteRef/>
      </w:r>
      <w:r w:rsidR="006B765B">
        <w:rPr>
          <w:lang w:val="pt-BR"/>
        </w:rPr>
        <w:t xml:space="preserve">Lessa, </w:t>
      </w:r>
      <w:r w:rsidR="006B765B">
        <w:rPr>
          <w:i/>
          <w:lang w:val="pt-BR"/>
        </w:rPr>
        <w:t>Viagem de África</w:t>
      </w:r>
      <w:r w:rsidR="005D0E30">
        <w:rPr>
          <w:lang w:val="pt-BR"/>
        </w:rPr>
        <w:t>, 27, 35.</w:t>
      </w:r>
    </w:p>
  </w:footnote>
  <w:footnote w:id="33">
    <w:p w:rsidR="00422D2A" w:rsidRPr="00F76C50" w:rsidRDefault="00422D2A">
      <w:pPr>
        <w:pStyle w:val="FootnoteText"/>
      </w:pPr>
      <w:r>
        <w:rPr>
          <w:rStyle w:val="FootnoteReference"/>
        </w:rPr>
        <w:footnoteRef/>
      </w:r>
      <w:r w:rsidRPr="00F76C50">
        <w:t xml:space="preserve"> </w:t>
      </w:r>
      <w:proofErr w:type="gramStart"/>
      <w:r w:rsidR="009541E4" w:rsidRPr="00F76C50">
        <w:t>Ibid.,</w:t>
      </w:r>
      <w:proofErr w:type="gramEnd"/>
      <w:r w:rsidR="009541E4" w:rsidRPr="00F76C50">
        <w:t xml:space="preserve"> 98-115</w:t>
      </w:r>
      <w:r w:rsidRPr="00F76C50">
        <w:t>.</w:t>
      </w:r>
    </w:p>
  </w:footnote>
  <w:footnote w:id="34">
    <w:p w:rsidR="00085987" w:rsidRPr="00085987" w:rsidRDefault="00085987">
      <w:pPr>
        <w:pStyle w:val="FootnoteText"/>
      </w:pPr>
      <w:r>
        <w:rPr>
          <w:rStyle w:val="FootnoteReference"/>
        </w:rPr>
        <w:footnoteRef/>
      </w:r>
      <w:r w:rsidRPr="00085987">
        <w:t xml:space="preserve"> Norris, </w:t>
      </w:r>
      <w:r w:rsidRPr="00085987">
        <w:rPr>
          <w:i/>
        </w:rPr>
        <w:t xml:space="preserve">Memoirs of the Reign of </w:t>
      </w:r>
      <w:proofErr w:type="spellStart"/>
      <w:r w:rsidRPr="00085987">
        <w:rPr>
          <w:i/>
        </w:rPr>
        <w:t>Bossa</w:t>
      </w:r>
      <w:proofErr w:type="spellEnd"/>
      <w:r w:rsidRPr="00085987">
        <w:rPr>
          <w:i/>
        </w:rPr>
        <w:t xml:space="preserve"> </w:t>
      </w:r>
      <w:proofErr w:type="spellStart"/>
      <w:r w:rsidRPr="00085987">
        <w:rPr>
          <w:i/>
        </w:rPr>
        <w:t>Ahádee</w:t>
      </w:r>
      <w:proofErr w:type="spellEnd"/>
      <w:r>
        <w:t xml:space="preserve">, </w:t>
      </w:r>
      <w:r w:rsidRPr="00085987">
        <w:t>10</w:t>
      </w:r>
    </w:p>
  </w:footnote>
  <w:footnote w:id="35">
    <w:p w:rsidR="00011F80" w:rsidRPr="00011F80" w:rsidRDefault="00011F80">
      <w:pPr>
        <w:pStyle w:val="FootnoteText"/>
        <w:rPr>
          <w:lang w:val="pt-BR"/>
        </w:rPr>
      </w:pPr>
      <w:r>
        <w:rPr>
          <w:rStyle w:val="FootnoteReference"/>
        </w:rPr>
        <w:footnoteRef/>
      </w:r>
      <w:r w:rsidRPr="00011F80">
        <w:rPr>
          <w:lang w:val="pt-BR"/>
        </w:rPr>
        <w:t xml:space="preserve"> </w:t>
      </w:r>
      <w:r>
        <w:rPr>
          <w:lang w:val="pt-BR"/>
        </w:rPr>
        <w:t>Ibid., 108.</w:t>
      </w:r>
    </w:p>
  </w:footnote>
  <w:footnote w:id="36">
    <w:p w:rsidR="0002724B" w:rsidRPr="0002724B" w:rsidRDefault="0002724B">
      <w:pPr>
        <w:pStyle w:val="FootnoteText"/>
        <w:rPr>
          <w:lang w:val="pt-BR"/>
        </w:rPr>
      </w:pPr>
      <w:r>
        <w:rPr>
          <w:rStyle w:val="FootnoteReference"/>
        </w:rPr>
        <w:footnoteRef/>
      </w:r>
      <w:r w:rsidRPr="0002724B">
        <w:rPr>
          <w:lang w:val="pt-BR"/>
        </w:rPr>
        <w:t xml:space="preserve"> AHU, CU, São Tomé, Caixa 27, doc. </w:t>
      </w:r>
      <w:r>
        <w:rPr>
          <w:lang w:val="pt-BR"/>
        </w:rPr>
        <w:t>45ª.</w:t>
      </w:r>
    </w:p>
  </w:footnote>
  <w:footnote w:id="37">
    <w:p w:rsidR="0002724B" w:rsidRPr="0002724B" w:rsidRDefault="0002724B">
      <w:pPr>
        <w:pStyle w:val="FootnoteText"/>
        <w:rPr>
          <w:lang w:val="pt-BR"/>
        </w:rPr>
      </w:pPr>
      <w:r>
        <w:rPr>
          <w:rStyle w:val="FootnoteReference"/>
        </w:rPr>
        <w:footnoteRef/>
      </w:r>
      <w:r w:rsidRPr="0002724B">
        <w:rPr>
          <w:lang w:val="pt-BR"/>
        </w:rPr>
        <w:t xml:space="preserve"> </w:t>
      </w:r>
      <w:r>
        <w:rPr>
          <w:lang w:val="pt-BR"/>
        </w:rPr>
        <w:t>AHU, CU, São Tomé, Caixa 39A, d</w:t>
      </w:r>
      <w:r w:rsidRPr="0002724B">
        <w:rPr>
          <w:lang w:val="pt-BR"/>
        </w:rPr>
        <w:t xml:space="preserve">oc. </w:t>
      </w:r>
      <w:r>
        <w:rPr>
          <w:lang w:val="pt-BR"/>
        </w:rPr>
        <w:t>1.</w:t>
      </w:r>
    </w:p>
  </w:footnote>
  <w:footnote w:id="38">
    <w:p w:rsidR="00D102E3" w:rsidRPr="00D102E3" w:rsidRDefault="00D102E3" w:rsidP="00D102E3">
      <w:pPr>
        <w:spacing w:line="240" w:lineRule="auto"/>
        <w:contextualSpacing/>
        <w:jc w:val="both"/>
        <w:rPr>
          <w:rFonts w:cs="Times New Roman"/>
          <w:i/>
          <w:sz w:val="20"/>
          <w:szCs w:val="20"/>
          <w:lang w:val="pt-BR"/>
        </w:rPr>
      </w:pPr>
      <w:r w:rsidRPr="00D102E3">
        <w:rPr>
          <w:rStyle w:val="FootnoteReference"/>
          <w:sz w:val="20"/>
          <w:szCs w:val="20"/>
        </w:rPr>
        <w:footnoteRef/>
      </w:r>
      <w:r w:rsidRPr="00D102E3">
        <w:rPr>
          <w:sz w:val="20"/>
          <w:szCs w:val="20"/>
          <w:lang w:val="pt-BR"/>
        </w:rPr>
        <w:t xml:space="preserve"> In general, on the embassies of Dahomey in Brazil and Portugal, see </w:t>
      </w:r>
      <w:r w:rsidRPr="00D102E3">
        <w:rPr>
          <w:rFonts w:cs="Times New Roman"/>
          <w:sz w:val="20"/>
          <w:szCs w:val="20"/>
          <w:lang w:val="pt-BR"/>
        </w:rPr>
        <w:t xml:space="preserve">Ana Lucia Araujo,  “Dahomey, Portugal, and Bahia: King Adandozan and the Atlantic Slave Trade”, </w:t>
      </w:r>
      <w:r w:rsidRPr="00D102E3">
        <w:rPr>
          <w:rFonts w:cs="Times New Roman"/>
          <w:i/>
          <w:sz w:val="20"/>
          <w:szCs w:val="20"/>
          <w:lang w:val="pt-BR"/>
        </w:rPr>
        <w:t xml:space="preserve">Slavery and Abolition </w:t>
      </w:r>
      <w:r w:rsidRPr="00D102E3">
        <w:rPr>
          <w:rFonts w:cs="Times New Roman"/>
          <w:sz w:val="20"/>
          <w:szCs w:val="20"/>
          <w:lang w:val="pt-BR"/>
        </w:rPr>
        <w:t xml:space="preserve">33/1 (2012), 1-19; Joice de Souza Santos, </w:t>
      </w:r>
      <w:r w:rsidRPr="00D102E3">
        <w:rPr>
          <w:rFonts w:cs="Times New Roman"/>
          <w:i/>
          <w:sz w:val="20"/>
          <w:szCs w:val="20"/>
          <w:lang w:val="pt-BR"/>
        </w:rPr>
        <w:t>As Embaix</w:t>
      </w:r>
      <w:r>
        <w:rPr>
          <w:rFonts w:cs="Times New Roman"/>
          <w:i/>
          <w:sz w:val="20"/>
          <w:szCs w:val="20"/>
          <w:lang w:val="pt-BR"/>
        </w:rPr>
        <w:t>adas dos Reinos da Costa Africana</w:t>
      </w:r>
      <w:r w:rsidRPr="00D102E3">
        <w:rPr>
          <w:rFonts w:cs="Times New Roman"/>
          <w:i/>
          <w:sz w:val="20"/>
          <w:szCs w:val="20"/>
          <w:lang w:val="pt-BR"/>
        </w:rPr>
        <w:t xml:space="preserve"> Co</w:t>
      </w:r>
      <w:r>
        <w:rPr>
          <w:rFonts w:cs="Times New Roman"/>
          <w:i/>
          <w:sz w:val="20"/>
          <w:szCs w:val="20"/>
          <w:lang w:val="pt-BR"/>
        </w:rPr>
        <w:t>mo Mediadores Cu</w:t>
      </w:r>
      <w:r w:rsidRPr="00D102E3">
        <w:rPr>
          <w:rFonts w:cs="Times New Roman"/>
          <w:i/>
          <w:sz w:val="20"/>
          <w:szCs w:val="20"/>
          <w:lang w:val="pt-BR"/>
        </w:rPr>
        <w:t>lturais</w:t>
      </w:r>
      <w:r>
        <w:rPr>
          <w:rFonts w:cs="Times New Roman"/>
          <w:i/>
          <w:sz w:val="20"/>
          <w:szCs w:val="20"/>
          <w:lang w:val="pt-BR"/>
        </w:rPr>
        <w:t xml:space="preserve">: Missões Diplomáticas em Salvador, Rio de Janiero e Lisboa (1750-1823) </w:t>
      </w:r>
      <w:r>
        <w:rPr>
          <w:rFonts w:cs="Times New Roman"/>
          <w:sz w:val="20"/>
          <w:szCs w:val="20"/>
          <w:lang w:val="pt-BR"/>
        </w:rPr>
        <w:t xml:space="preserve">(Rio de Janeiro: Pontifícia Universidad Católica do Rio de Janeiro, 2012, Unpublished MA dissertation); </w:t>
      </w:r>
      <w:r w:rsidR="00E4355E">
        <w:rPr>
          <w:rFonts w:cs="Times New Roman"/>
          <w:sz w:val="20"/>
          <w:szCs w:val="20"/>
          <w:lang w:val="pt-BR"/>
        </w:rPr>
        <w:t>Luis Nicolau Paré</w:t>
      </w:r>
      <w:r>
        <w:rPr>
          <w:rFonts w:cs="Times New Roman"/>
          <w:sz w:val="20"/>
          <w:szCs w:val="20"/>
          <w:lang w:val="pt-BR"/>
        </w:rPr>
        <w:t xml:space="preserve">s, “Cartas do Daomé: Uma Introdução”, </w:t>
      </w:r>
      <w:r>
        <w:rPr>
          <w:rFonts w:cs="Times New Roman"/>
          <w:i/>
          <w:sz w:val="20"/>
          <w:szCs w:val="20"/>
          <w:lang w:val="pt-BR"/>
        </w:rPr>
        <w:t>Afro-Asia 47 (2013</w:t>
      </w:r>
      <w:r w:rsidRPr="00D102E3">
        <w:rPr>
          <w:rFonts w:cs="Times New Roman"/>
          <w:sz w:val="20"/>
          <w:szCs w:val="20"/>
          <w:lang w:val="pt-BR"/>
        </w:rPr>
        <w:t>), 295-3</w:t>
      </w:r>
      <w:r>
        <w:rPr>
          <w:rFonts w:cs="Times New Roman"/>
          <w:sz w:val="20"/>
          <w:szCs w:val="20"/>
          <w:lang w:val="pt-BR"/>
        </w:rPr>
        <w:t>9</w:t>
      </w:r>
      <w:r w:rsidRPr="00D102E3">
        <w:rPr>
          <w:rFonts w:cs="Times New Roman"/>
          <w:sz w:val="20"/>
          <w:szCs w:val="20"/>
          <w:lang w:val="pt-BR"/>
        </w:rPr>
        <w:t>5.</w:t>
      </w:r>
    </w:p>
    <w:p w:rsidR="00D102E3" w:rsidRPr="00D102E3" w:rsidRDefault="00D102E3">
      <w:pPr>
        <w:pStyle w:val="FootnoteText"/>
        <w:rPr>
          <w:lang w:val="pt-BR"/>
        </w:rPr>
      </w:pPr>
    </w:p>
  </w:footnote>
  <w:footnote w:id="39">
    <w:p w:rsidR="009A65F2" w:rsidRPr="00F76C50" w:rsidRDefault="009A65F2">
      <w:pPr>
        <w:pStyle w:val="FootnoteText"/>
      </w:pPr>
      <w:r>
        <w:rPr>
          <w:rStyle w:val="FootnoteReference"/>
        </w:rPr>
        <w:footnoteRef/>
      </w:r>
      <w:r>
        <w:t xml:space="preserve"> The best recent study of Great Popo is </w:t>
      </w:r>
      <w:proofErr w:type="spellStart"/>
      <w:r>
        <w:t>Silke</w:t>
      </w:r>
      <w:proofErr w:type="spellEnd"/>
      <w:r>
        <w:t xml:space="preserve"> </w:t>
      </w:r>
      <w:proofErr w:type="spellStart"/>
      <w:r>
        <w:t>Strickrodt</w:t>
      </w:r>
      <w:proofErr w:type="spellEnd"/>
      <w:r>
        <w:t xml:space="preserve">, </w:t>
      </w:r>
      <w:r w:rsidR="00F76C50">
        <w:rPr>
          <w:i/>
        </w:rPr>
        <w:t>Afro-European Trade in the Atlantic World: The Western Slave Coast, c. 1550-1885</w:t>
      </w:r>
      <w:r w:rsidR="00F76C50">
        <w:t xml:space="preserve"> (</w:t>
      </w:r>
      <w:proofErr w:type="spellStart"/>
      <w:r w:rsidR="00F76C50">
        <w:t>Martlesham</w:t>
      </w:r>
      <w:proofErr w:type="spellEnd"/>
      <w:r w:rsidR="00F76C50">
        <w:t xml:space="preserve">: </w:t>
      </w:r>
      <w:proofErr w:type="spellStart"/>
      <w:r w:rsidR="00F76C50">
        <w:t>Boydell</w:t>
      </w:r>
      <w:proofErr w:type="spellEnd"/>
      <w:r w:rsidR="00F76C50">
        <w:t xml:space="preserve"> &amp; Brewer</w:t>
      </w:r>
      <w:r w:rsidR="00A95BDF">
        <w:t xml:space="preserve">/James </w:t>
      </w:r>
      <w:proofErr w:type="spellStart"/>
      <w:r w:rsidR="00A95BDF">
        <w:t>Currey</w:t>
      </w:r>
      <w:proofErr w:type="spellEnd"/>
      <w:r w:rsidR="00F76C50">
        <w:t>, 2015).</w:t>
      </w:r>
    </w:p>
  </w:footnote>
  <w:footnote w:id="40">
    <w:p w:rsidR="00486B41" w:rsidRDefault="00486B41">
      <w:pPr>
        <w:pStyle w:val="FootnoteText"/>
      </w:pPr>
      <w:r>
        <w:rPr>
          <w:rStyle w:val="FootnoteReference"/>
        </w:rPr>
        <w:footnoteRef/>
      </w:r>
      <w:r>
        <w:t xml:space="preserve"> Selena Axelrod </w:t>
      </w:r>
      <w:proofErr w:type="spellStart"/>
      <w:r>
        <w:t>Winsnes</w:t>
      </w:r>
      <w:proofErr w:type="spellEnd"/>
      <w:r>
        <w:t xml:space="preserve"> (ed. and trans.), </w:t>
      </w:r>
      <w:r>
        <w:rPr>
          <w:i/>
        </w:rPr>
        <w:t xml:space="preserve">Letters on West Africa and the Slave Trade: Paul Erdmann </w:t>
      </w:r>
      <w:proofErr w:type="spellStart"/>
      <w:r>
        <w:rPr>
          <w:i/>
        </w:rPr>
        <w:t>Isert’s</w:t>
      </w:r>
      <w:proofErr w:type="spellEnd"/>
      <w:r>
        <w:rPr>
          <w:i/>
        </w:rPr>
        <w:t xml:space="preserve"> </w:t>
      </w:r>
      <w:r>
        <w:t xml:space="preserve">Journey to Guinea and the Caribbean Islands in Columbia </w:t>
      </w:r>
      <w:r>
        <w:rPr>
          <w:i/>
        </w:rPr>
        <w:t>(1788)</w:t>
      </w:r>
      <w:r>
        <w:t xml:space="preserve"> (Oxford: Oxford University Press for the British Academy, 1992), 90-1.</w:t>
      </w:r>
    </w:p>
  </w:footnote>
  <w:footnote w:id="41">
    <w:p w:rsidR="00486B41" w:rsidRDefault="00486B41">
      <w:pPr>
        <w:pStyle w:val="FootnoteText"/>
      </w:pPr>
      <w:r>
        <w:rPr>
          <w:rStyle w:val="FootnoteReference"/>
        </w:rPr>
        <w:footnoteRef/>
      </w:r>
      <w:r>
        <w:t xml:space="preserve"> </w:t>
      </w:r>
      <w:proofErr w:type="gramStart"/>
      <w:r>
        <w:t>Ibid.,</w:t>
      </w:r>
      <w:proofErr w:type="gramEnd"/>
      <w:r>
        <w:t xml:space="preserve"> 99.</w:t>
      </w:r>
    </w:p>
  </w:footnote>
  <w:footnote w:id="42">
    <w:p w:rsidR="00CA6BEB" w:rsidRPr="00095E08" w:rsidRDefault="00CA6BEB" w:rsidP="00CA6BEB">
      <w:pPr>
        <w:pStyle w:val="NoSpacing"/>
        <w:rPr>
          <w:sz w:val="20"/>
          <w:szCs w:val="20"/>
        </w:rPr>
      </w:pPr>
      <w:r w:rsidRPr="00095E08">
        <w:rPr>
          <w:rStyle w:val="FootnoteReference"/>
          <w:sz w:val="20"/>
          <w:szCs w:val="20"/>
        </w:rPr>
        <w:footnoteRef/>
      </w:r>
      <w:r w:rsidRPr="00095E08">
        <w:rPr>
          <w:sz w:val="20"/>
          <w:szCs w:val="20"/>
        </w:rPr>
        <w:t xml:space="preserve"> On Segu see Jean </w:t>
      </w:r>
      <w:proofErr w:type="spellStart"/>
      <w:r w:rsidRPr="00095E08">
        <w:rPr>
          <w:sz w:val="20"/>
          <w:szCs w:val="20"/>
        </w:rPr>
        <w:t>Bazin</w:t>
      </w:r>
      <w:proofErr w:type="spellEnd"/>
      <w:r w:rsidRPr="00095E08">
        <w:rPr>
          <w:sz w:val="20"/>
          <w:szCs w:val="20"/>
        </w:rPr>
        <w:t xml:space="preserve">, </w:t>
      </w:r>
      <w:r w:rsidRPr="00095E08">
        <w:rPr>
          <w:rFonts w:cs="Times New Roman"/>
          <w:sz w:val="20"/>
          <w:szCs w:val="20"/>
        </w:rPr>
        <w:t xml:space="preserve">“War and servitude in Segou”, </w:t>
      </w:r>
      <w:r w:rsidRPr="00095E08">
        <w:rPr>
          <w:rFonts w:cs="Times New Roman"/>
          <w:i/>
          <w:sz w:val="20"/>
          <w:szCs w:val="20"/>
        </w:rPr>
        <w:t xml:space="preserve">Economy and Society 3/2 </w:t>
      </w:r>
      <w:r w:rsidRPr="00095E08">
        <w:rPr>
          <w:rFonts w:cs="Times New Roman"/>
          <w:sz w:val="20"/>
          <w:szCs w:val="20"/>
        </w:rPr>
        <w:t xml:space="preserve">(1974), 107-44; David C. Conrad, </w:t>
      </w:r>
      <w:r w:rsidRPr="00095E08">
        <w:rPr>
          <w:i/>
          <w:sz w:val="20"/>
          <w:szCs w:val="20"/>
        </w:rPr>
        <w:t xml:space="preserve">A State of Intrigue: The Epic of </w:t>
      </w:r>
      <w:proofErr w:type="spellStart"/>
      <w:r w:rsidRPr="00095E08">
        <w:rPr>
          <w:i/>
          <w:sz w:val="20"/>
          <w:szCs w:val="20"/>
        </w:rPr>
        <w:t>Bamana</w:t>
      </w:r>
      <w:proofErr w:type="spellEnd"/>
      <w:r w:rsidRPr="00095E08">
        <w:rPr>
          <w:i/>
          <w:sz w:val="20"/>
          <w:szCs w:val="20"/>
        </w:rPr>
        <w:t xml:space="preserve"> Segu According to </w:t>
      </w:r>
      <w:proofErr w:type="spellStart"/>
      <w:r w:rsidRPr="00095E08">
        <w:rPr>
          <w:i/>
          <w:sz w:val="20"/>
          <w:szCs w:val="20"/>
        </w:rPr>
        <w:t>Tayiru</w:t>
      </w:r>
      <w:proofErr w:type="spellEnd"/>
      <w:r w:rsidRPr="00095E08">
        <w:rPr>
          <w:i/>
          <w:sz w:val="20"/>
          <w:szCs w:val="20"/>
        </w:rPr>
        <w:t xml:space="preserve"> </w:t>
      </w:r>
      <w:proofErr w:type="spellStart"/>
      <w:r w:rsidRPr="00095E08">
        <w:rPr>
          <w:i/>
          <w:sz w:val="20"/>
          <w:szCs w:val="20"/>
        </w:rPr>
        <w:t>Banbera</w:t>
      </w:r>
      <w:proofErr w:type="spellEnd"/>
      <w:r>
        <w:rPr>
          <w:sz w:val="20"/>
          <w:szCs w:val="20"/>
        </w:rPr>
        <w:t xml:space="preserve">, </w:t>
      </w:r>
      <w:r w:rsidRPr="00095E08">
        <w:rPr>
          <w:sz w:val="20"/>
          <w:szCs w:val="20"/>
        </w:rPr>
        <w:t xml:space="preserve">Oxford: Oxford University Press for the British Academy, 1990; Richard L. Roberts, “Production and Reproduction of Warrior States: Segu Bambara and Segu </w:t>
      </w:r>
      <w:proofErr w:type="spellStart"/>
      <w:r w:rsidRPr="00095E08">
        <w:rPr>
          <w:sz w:val="20"/>
          <w:szCs w:val="20"/>
        </w:rPr>
        <w:t>Tokolor</w:t>
      </w:r>
      <w:proofErr w:type="spellEnd"/>
      <w:r w:rsidRPr="00095E08">
        <w:rPr>
          <w:sz w:val="20"/>
          <w:szCs w:val="20"/>
        </w:rPr>
        <w:t xml:space="preserve">, c. 1712-1890”, </w:t>
      </w:r>
      <w:r w:rsidRPr="00095E08">
        <w:rPr>
          <w:i/>
          <w:sz w:val="20"/>
          <w:szCs w:val="20"/>
        </w:rPr>
        <w:t>International Journal of African Historical Studies</w:t>
      </w:r>
      <w:r w:rsidRPr="00095E08">
        <w:rPr>
          <w:sz w:val="20"/>
          <w:szCs w:val="20"/>
        </w:rPr>
        <w:t xml:space="preserve"> 13/3 (1980),</w:t>
      </w:r>
      <w:r>
        <w:rPr>
          <w:sz w:val="20"/>
          <w:szCs w:val="20"/>
        </w:rPr>
        <w:t xml:space="preserve"> 389-419.</w:t>
      </w:r>
    </w:p>
  </w:footnote>
  <w:footnote w:id="43">
    <w:p w:rsidR="00CA6BEB" w:rsidRPr="004160D9" w:rsidRDefault="00CA6BEB" w:rsidP="00CA6BEB">
      <w:pPr>
        <w:pStyle w:val="NoSpacing"/>
        <w:rPr>
          <w:sz w:val="20"/>
          <w:szCs w:val="20"/>
          <w:lang w:val="fr-FR"/>
        </w:rPr>
      </w:pPr>
      <w:r w:rsidRPr="00095E08">
        <w:rPr>
          <w:rStyle w:val="FootnoteReference"/>
          <w:sz w:val="20"/>
          <w:szCs w:val="20"/>
        </w:rPr>
        <w:footnoteRef/>
      </w:r>
      <w:r w:rsidRPr="00095E08">
        <w:rPr>
          <w:sz w:val="20"/>
          <w:szCs w:val="20"/>
          <w:lang w:val="fr-FR"/>
        </w:rPr>
        <w:t xml:space="preserve"> Christiane Seydou (</w:t>
      </w:r>
      <w:proofErr w:type="spellStart"/>
      <w:r w:rsidRPr="00095E08">
        <w:rPr>
          <w:sz w:val="20"/>
          <w:szCs w:val="20"/>
          <w:lang w:val="fr-FR"/>
        </w:rPr>
        <w:t>ed</w:t>
      </w:r>
      <w:proofErr w:type="spellEnd"/>
      <w:r w:rsidRPr="00095E08">
        <w:rPr>
          <w:sz w:val="20"/>
          <w:szCs w:val="20"/>
          <w:lang w:val="fr-FR"/>
        </w:rPr>
        <w:t xml:space="preserve">.), </w:t>
      </w:r>
      <w:proofErr w:type="spellStart"/>
      <w:r w:rsidRPr="00095E08">
        <w:rPr>
          <w:i/>
          <w:sz w:val="20"/>
          <w:szCs w:val="20"/>
          <w:lang w:val="fr-FR"/>
        </w:rPr>
        <w:t>Silâmaka</w:t>
      </w:r>
      <w:proofErr w:type="spellEnd"/>
      <w:r w:rsidRPr="00095E08">
        <w:rPr>
          <w:i/>
          <w:sz w:val="20"/>
          <w:szCs w:val="20"/>
          <w:lang w:val="fr-FR"/>
        </w:rPr>
        <w:t xml:space="preserve"> et </w:t>
      </w:r>
      <w:proofErr w:type="spellStart"/>
      <w:r w:rsidRPr="004160D9">
        <w:rPr>
          <w:i/>
          <w:sz w:val="20"/>
          <w:szCs w:val="20"/>
          <w:lang w:val="fr-FR"/>
        </w:rPr>
        <w:t>Poullôri</w:t>
      </w:r>
      <w:proofErr w:type="spellEnd"/>
      <w:r w:rsidRPr="004160D9">
        <w:rPr>
          <w:i/>
          <w:sz w:val="20"/>
          <w:szCs w:val="20"/>
          <w:lang w:val="fr-FR"/>
        </w:rPr>
        <w:t xml:space="preserve">: Récit Épique Peul Raconté Par </w:t>
      </w:r>
      <w:proofErr w:type="spellStart"/>
      <w:r w:rsidRPr="004160D9">
        <w:rPr>
          <w:i/>
          <w:sz w:val="20"/>
          <w:szCs w:val="20"/>
          <w:lang w:val="fr-FR"/>
        </w:rPr>
        <w:t>Tinguidji</w:t>
      </w:r>
      <w:proofErr w:type="spellEnd"/>
      <w:r w:rsidRPr="004160D9">
        <w:rPr>
          <w:sz w:val="20"/>
          <w:szCs w:val="20"/>
          <w:lang w:val="fr-FR"/>
        </w:rPr>
        <w:t xml:space="preserve"> (Paris: Armand Colin, 1972), 82-5.</w:t>
      </w:r>
    </w:p>
  </w:footnote>
  <w:footnote w:id="44">
    <w:p w:rsidR="00CA6BEB" w:rsidRPr="007754DF" w:rsidRDefault="00CA6BEB" w:rsidP="00CA6BEB">
      <w:pPr>
        <w:pStyle w:val="NoSpacing"/>
        <w:rPr>
          <w:sz w:val="20"/>
          <w:szCs w:val="20"/>
        </w:rPr>
      </w:pPr>
      <w:r w:rsidRPr="007754DF">
        <w:rPr>
          <w:rStyle w:val="FootnoteReference"/>
          <w:sz w:val="20"/>
          <w:szCs w:val="20"/>
        </w:rPr>
        <w:footnoteRef/>
      </w:r>
      <w:r w:rsidRPr="007754DF">
        <w:rPr>
          <w:sz w:val="20"/>
          <w:szCs w:val="20"/>
        </w:rPr>
        <w:t xml:space="preserve"> Mary Douglas, </w:t>
      </w:r>
      <w:r w:rsidRPr="007754DF">
        <w:rPr>
          <w:i/>
          <w:sz w:val="20"/>
          <w:szCs w:val="20"/>
        </w:rPr>
        <w:t>Purity and Danger: An Analysis of the Concepts of Pollution and Taboo</w:t>
      </w:r>
      <w:r w:rsidRPr="007754DF">
        <w:rPr>
          <w:sz w:val="20"/>
          <w:szCs w:val="20"/>
        </w:rPr>
        <w:t xml:space="preserve"> (London: Routledge, 1989; first published 1966).</w:t>
      </w:r>
    </w:p>
  </w:footnote>
  <w:footnote w:id="45">
    <w:p w:rsidR="00CA6BEB" w:rsidRPr="002A13CC" w:rsidRDefault="00CA6BEB" w:rsidP="00CA6BEB">
      <w:pPr>
        <w:pStyle w:val="NoSpacing"/>
        <w:rPr>
          <w:i/>
          <w:iCs/>
          <w:sz w:val="20"/>
          <w:szCs w:val="20"/>
        </w:rPr>
      </w:pPr>
      <w:r w:rsidRPr="002A13CC">
        <w:rPr>
          <w:rStyle w:val="FootnoteReference"/>
          <w:sz w:val="20"/>
          <w:szCs w:val="20"/>
        </w:rPr>
        <w:footnoteRef/>
      </w:r>
      <w:r w:rsidRPr="002A13CC">
        <w:rPr>
          <w:sz w:val="20"/>
          <w:szCs w:val="20"/>
          <w:lang w:val="pt-BR"/>
        </w:rPr>
        <w:t xml:space="preserve"> For general literature on Kaabu, see Carlos Lopes, </w:t>
      </w:r>
      <w:r w:rsidRPr="002A13CC">
        <w:rPr>
          <w:i/>
          <w:sz w:val="20"/>
          <w:szCs w:val="20"/>
          <w:lang w:val="pt-PT"/>
        </w:rPr>
        <w:t xml:space="preserve">Kaabunké: Espaço, Poder, Território e Poder na Guiné-Bissau,. </w:t>
      </w:r>
      <w:proofErr w:type="spellStart"/>
      <w:r w:rsidRPr="002A13CC">
        <w:rPr>
          <w:i/>
          <w:sz w:val="20"/>
          <w:szCs w:val="20"/>
        </w:rPr>
        <w:t>Gâmbia</w:t>
      </w:r>
      <w:proofErr w:type="spellEnd"/>
      <w:r w:rsidRPr="002A13CC">
        <w:rPr>
          <w:i/>
          <w:sz w:val="20"/>
          <w:szCs w:val="20"/>
        </w:rPr>
        <w:t xml:space="preserve"> e </w:t>
      </w:r>
      <w:proofErr w:type="spellStart"/>
      <w:r w:rsidRPr="002A13CC">
        <w:rPr>
          <w:i/>
          <w:sz w:val="20"/>
          <w:szCs w:val="20"/>
        </w:rPr>
        <w:t>Casamance</w:t>
      </w:r>
      <w:proofErr w:type="spellEnd"/>
      <w:r w:rsidRPr="002A13CC">
        <w:rPr>
          <w:i/>
          <w:sz w:val="20"/>
          <w:szCs w:val="20"/>
        </w:rPr>
        <w:t xml:space="preserve"> Pre-</w:t>
      </w:r>
      <w:proofErr w:type="spellStart"/>
      <w:r w:rsidRPr="002A13CC">
        <w:rPr>
          <w:i/>
          <w:sz w:val="20"/>
          <w:szCs w:val="20"/>
        </w:rPr>
        <w:t>Coloniais</w:t>
      </w:r>
      <w:proofErr w:type="spellEnd"/>
      <w:r w:rsidRPr="002A13CC">
        <w:rPr>
          <w:sz w:val="20"/>
          <w:szCs w:val="20"/>
        </w:rPr>
        <w:t xml:space="preserve"> (Lisbon: </w:t>
      </w:r>
      <w:proofErr w:type="spellStart"/>
      <w:r w:rsidRPr="002A13CC">
        <w:rPr>
          <w:sz w:val="20"/>
          <w:szCs w:val="20"/>
        </w:rPr>
        <w:t>Comissão</w:t>
      </w:r>
      <w:proofErr w:type="spellEnd"/>
      <w:r w:rsidRPr="002A13CC">
        <w:rPr>
          <w:sz w:val="20"/>
          <w:szCs w:val="20"/>
        </w:rPr>
        <w:t xml:space="preserve"> Nacional para as </w:t>
      </w:r>
      <w:proofErr w:type="spellStart"/>
      <w:r w:rsidRPr="002A13CC">
        <w:rPr>
          <w:sz w:val="20"/>
          <w:szCs w:val="20"/>
        </w:rPr>
        <w:t>Comemorações</w:t>
      </w:r>
      <w:proofErr w:type="spellEnd"/>
      <w:r w:rsidRPr="002A13CC">
        <w:rPr>
          <w:sz w:val="20"/>
          <w:szCs w:val="20"/>
        </w:rPr>
        <w:t xml:space="preserve"> dos </w:t>
      </w:r>
      <w:proofErr w:type="spellStart"/>
      <w:r w:rsidRPr="002A13CC">
        <w:rPr>
          <w:sz w:val="20"/>
          <w:szCs w:val="20"/>
        </w:rPr>
        <w:t>Descobrimentos</w:t>
      </w:r>
      <w:proofErr w:type="spellEnd"/>
      <w:r w:rsidRPr="002A13CC">
        <w:rPr>
          <w:sz w:val="20"/>
          <w:szCs w:val="20"/>
        </w:rPr>
        <w:t xml:space="preserve"> </w:t>
      </w:r>
      <w:proofErr w:type="spellStart"/>
      <w:r w:rsidRPr="002A13CC">
        <w:rPr>
          <w:sz w:val="20"/>
          <w:szCs w:val="20"/>
        </w:rPr>
        <w:t>Portugueses</w:t>
      </w:r>
      <w:proofErr w:type="spellEnd"/>
      <w:r w:rsidRPr="002A13CC">
        <w:rPr>
          <w:sz w:val="20"/>
          <w:szCs w:val="20"/>
        </w:rPr>
        <w:t xml:space="preserve">, 1999); and Toby Green, “Architects of Knowledge, Builders of Power: Constructing the </w:t>
      </w:r>
      <w:proofErr w:type="spellStart"/>
      <w:r w:rsidRPr="002A13CC">
        <w:rPr>
          <w:sz w:val="20"/>
          <w:szCs w:val="20"/>
        </w:rPr>
        <w:t>Kaabu</w:t>
      </w:r>
      <w:proofErr w:type="spellEnd"/>
      <w:r w:rsidRPr="002A13CC">
        <w:rPr>
          <w:sz w:val="20"/>
          <w:szCs w:val="20"/>
        </w:rPr>
        <w:t xml:space="preserve"> 'Empire', 16th-17th centuries”, </w:t>
      </w:r>
      <w:r w:rsidRPr="002A13CC">
        <w:rPr>
          <w:i/>
          <w:sz w:val="20"/>
          <w:szCs w:val="20"/>
        </w:rPr>
        <w:t xml:space="preserve">Journal of Mande Studies, </w:t>
      </w:r>
      <w:r w:rsidRPr="002A13CC">
        <w:rPr>
          <w:sz w:val="20"/>
          <w:szCs w:val="20"/>
        </w:rPr>
        <w:t>11, (2009):</w:t>
      </w:r>
      <w:r w:rsidRPr="002A13CC">
        <w:rPr>
          <w:i/>
          <w:sz w:val="20"/>
          <w:szCs w:val="20"/>
        </w:rPr>
        <w:t xml:space="preserve"> </w:t>
      </w:r>
      <w:r w:rsidRPr="002A13CC">
        <w:rPr>
          <w:sz w:val="20"/>
          <w:szCs w:val="20"/>
        </w:rPr>
        <w:t>91-112.</w:t>
      </w:r>
    </w:p>
  </w:footnote>
  <w:footnote w:id="46">
    <w:p w:rsidR="00CA6BEB" w:rsidRPr="002A13CC" w:rsidRDefault="00CA6BEB" w:rsidP="00CA6BEB">
      <w:pPr>
        <w:pStyle w:val="NoSpacing"/>
        <w:rPr>
          <w:sz w:val="20"/>
          <w:szCs w:val="20"/>
        </w:rPr>
      </w:pPr>
      <w:r w:rsidRPr="002A13CC">
        <w:rPr>
          <w:rStyle w:val="FootnoteReference"/>
          <w:sz w:val="20"/>
          <w:szCs w:val="20"/>
        </w:rPr>
        <w:footnoteRef/>
      </w:r>
      <w:r w:rsidRPr="002A13CC">
        <w:rPr>
          <w:sz w:val="20"/>
          <w:szCs w:val="20"/>
        </w:rPr>
        <w:t xml:space="preserve"> National Centre for Arts and Culture, Research and Documentation Division, </w:t>
      </w:r>
      <w:proofErr w:type="spellStart"/>
      <w:r w:rsidRPr="002A13CC">
        <w:rPr>
          <w:sz w:val="20"/>
          <w:szCs w:val="20"/>
        </w:rPr>
        <w:t>Fajara</w:t>
      </w:r>
      <w:proofErr w:type="spellEnd"/>
      <w:r w:rsidRPr="002A13CC">
        <w:rPr>
          <w:sz w:val="20"/>
          <w:szCs w:val="20"/>
        </w:rPr>
        <w:t>, The Gambia, Transcribed Cassette 23A, page 3.</w:t>
      </w:r>
    </w:p>
  </w:footnote>
  <w:footnote w:id="47">
    <w:p w:rsidR="00CA6BEB" w:rsidRDefault="00CA6BEB" w:rsidP="00CA6BEB">
      <w:pPr>
        <w:pStyle w:val="NoSpacing"/>
      </w:pPr>
      <w:r w:rsidRPr="007216B8">
        <w:rPr>
          <w:rStyle w:val="FootnoteReference"/>
          <w:sz w:val="20"/>
        </w:rPr>
        <w:footnoteRef/>
      </w:r>
      <w:r w:rsidRPr="007216B8">
        <w:rPr>
          <w:sz w:val="20"/>
        </w:rPr>
        <w:t xml:space="preserve"> See </w:t>
      </w:r>
      <w:proofErr w:type="spellStart"/>
      <w:r w:rsidRPr="007216B8">
        <w:rPr>
          <w:sz w:val="20"/>
        </w:rPr>
        <w:t>Boubacar</w:t>
      </w:r>
      <w:proofErr w:type="spellEnd"/>
      <w:r w:rsidRPr="007216B8">
        <w:rPr>
          <w:sz w:val="20"/>
        </w:rPr>
        <w:t xml:space="preserve"> Barry, </w:t>
      </w:r>
      <w:r w:rsidRPr="007216B8">
        <w:rPr>
          <w:i/>
          <w:sz w:val="20"/>
        </w:rPr>
        <w:t>Senegambia and the Atlantic Slave Trade</w:t>
      </w:r>
      <w:r w:rsidRPr="007216B8">
        <w:rPr>
          <w:sz w:val="20"/>
        </w:rPr>
        <w:t xml:space="preserve"> (Cambridge: Cambridge University Press, 1998; tr. </w:t>
      </w:r>
      <w:proofErr w:type="spellStart"/>
      <w:r w:rsidRPr="007216B8">
        <w:rPr>
          <w:sz w:val="20"/>
        </w:rPr>
        <w:t>Armah</w:t>
      </w:r>
      <w:proofErr w:type="spellEnd"/>
      <w:r w:rsidRPr="007216B8">
        <w:rPr>
          <w:sz w:val="20"/>
        </w:rPr>
        <w:t xml:space="preserve">, A. </w:t>
      </w:r>
      <w:proofErr w:type="spellStart"/>
      <w:r w:rsidRPr="007216B8">
        <w:rPr>
          <w:sz w:val="20"/>
        </w:rPr>
        <w:t>Kwei</w:t>
      </w:r>
      <w:proofErr w:type="spellEnd"/>
      <w:r w:rsidRPr="007216B8">
        <w:rPr>
          <w:sz w:val="20"/>
        </w:rPr>
        <w:t>).</w:t>
      </w:r>
    </w:p>
  </w:footnote>
  <w:footnote w:id="48">
    <w:p w:rsidR="00CA6BEB" w:rsidRPr="007216B8" w:rsidRDefault="00CA6BEB" w:rsidP="00CA6BEB">
      <w:pPr>
        <w:pStyle w:val="FootnoteText"/>
        <w:contextualSpacing/>
      </w:pPr>
      <w:r>
        <w:rPr>
          <w:rStyle w:val="FootnoteReference"/>
        </w:rPr>
        <w:footnoteRef/>
      </w:r>
      <w:r>
        <w:t xml:space="preserve"> Jan Jansen, </w:t>
      </w:r>
      <w:proofErr w:type="spellStart"/>
      <w:r>
        <w:t>Esger</w:t>
      </w:r>
      <w:proofErr w:type="spellEnd"/>
      <w:r>
        <w:t xml:space="preserve"> </w:t>
      </w:r>
      <w:proofErr w:type="spellStart"/>
      <w:r>
        <w:t>Duintjer</w:t>
      </w:r>
      <w:proofErr w:type="spellEnd"/>
      <w:r>
        <w:t xml:space="preserve"> and </w:t>
      </w:r>
      <w:proofErr w:type="spellStart"/>
      <w:r>
        <w:t>Boubacar</w:t>
      </w:r>
      <w:proofErr w:type="spellEnd"/>
      <w:r>
        <w:t xml:space="preserve"> </w:t>
      </w:r>
      <w:proofErr w:type="spellStart"/>
      <w:r>
        <w:t>Tamboura</w:t>
      </w:r>
      <w:proofErr w:type="spellEnd"/>
      <w:r>
        <w:t xml:space="preserve"> (eds. and trans.), </w:t>
      </w:r>
      <w:proofErr w:type="spellStart"/>
      <w:r>
        <w:rPr>
          <w:i/>
        </w:rPr>
        <w:t>L’Épopée</w:t>
      </w:r>
      <w:proofErr w:type="spellEnd"/>
      <w:r>
        <w:rPr>
          <w:i/>
        </w:rPr>
        <w:t xml:space="preserve"> de </w:t>
      </w:r>
      <w:proofErr w:type="spellStart"/>
      <w:r>
        <w:rPr>
          <w:i/>
        </w:rPr>
        <w:t>Sunjata</w:t>
      </w:r>
      <w:proofErr w:type="spellEnd"/>
      <w:r>
        <w:rPr>
          <w:i/>
        </w:rPr>
        <w:t xml:space="preserve">, </w:t>
      </w:r>
      <w:proofErr w:type="spellStart"/>
      <w:r>
        <w:rPr>
          <w:i/>
        </w:rPr>
        <w:t>d’Après</w:t>
      </w:r>
      <w:proofErr w:type="spellEnd"/>
      <w:r>
        <w:rPr>
          <w:i/>
        </w:rPr>
        <w:t xml:space="preserve"> </w:t>
      </w:r>
      <w:proofErr w:type="spellStart"/>
      <w:r>
        <w:rPr>
          <w:i/>
        </w:rPr>
        <w:t>Lansine</w:t>
      </w:r>
      <w:proofErr w:type="spellEnd"/>
      <w:r>
        <w:rPr>
          <w:i/>
        </w:rPr>
        <w:t xml:space="preserve"> </w:t>
      </w:r>
      <w:proofErr w:type="spellStart"/>
      <w:r>
        <w:rPr>
          <w:i/>
        </w:rPr>
        <w:t>Diabate</w:t>
      </w:r>
      <w:proofErr w:type="spellEnd"/>
      <w:r>
        <w:rPr>
          <w:i/>
        </w:rPr>
        <w:t xml:space="preserve"> de </w:t>
      </w:r>
      <w:proofErr w:type="spellStart"/>
      <w:r>
        <w:rPr>
          <w:i/>
        </w:rPr>
        <w:t>Kela</w:t>
      </w:r>
      <w:proofErr w:type="spellEnd"/>
      <w:r>
        <w:t xml:space="preserve"> (Leiden: Research School CNWS, 1995), 85.</w:t>
      </w:r>
    </w:p>
  </w:footnote>
  <w:footnote w:id="49">
    <w:p w:rsidR="00CA6BEB" w:rsidRDefault="00CA6BEB" w:rsidP="00CA6BEB">
      <w:pPr>
        <w:pStyle w:val="FootnoteText"/>
      </w:pPr>
      <w:r>
        <w:rPr>
          <w:rStyle w:val="FootnoteReference"/>
        </w:rPr>
        <w:footnoteRef/>
      </w:r>
      <w:r>
        <w:t xml:space="preserve"> Mervyn </w:t>
      </w:r>
      <w:proofErr w:type="spellStart"/>
      <w:r>
        <w:t>Hiskett</w:t>
      </w:r>
      <w:proofErr w:type="spellEnd"/>
      <w:r>
        <w:t xml:space="preserve">, “The ‘Song of </w:t>
      </w:r>
      <w:proofErr w:type="spellStart"/>
      <w:r>
        <w:t>Bagauda</w:t>
      </w:r>
      <w:proofErr w:type="spellEnd"/>
      <w:r>
        <w:t>’: A Hausa King List and Homily in Verse: II”, SOAS Bulletin 28/1 (1965).</w:t>
      </w:r>
    </w:p>
  </w:footnote>
  <w:footnote w:id="50">
    <w:p w:rsidR="00CA6BEB" w:rsidRDefault="00CA6BEB" w:rsidP="00CA6BEB">
      <w:pPr>
        <w:pStyle w:val="FootnoteText"/>
      </w:pPr>
      <w:r>
        <w:rPr>
          <w:rStyle w:val="FootnoteReference"/>
        </w:rPr>
        <w:footnoteRef/>
      </w:r>
      <w:r>
        <w:t xml:space="preserve"> Ibid</w:t>
      </w:r>
      <w:proofErr w:type="gramStart"/>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7366"/>
    <w:multiLevelType w:val="hybridMultilevel"/>
    <w:tmpl w:val="BDDC3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487"/>
        </w:tabs>
        <w:ind w:left="2487"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1F"/>
    <w:rsid w:val="00005B89"/>
    <w:rsid w:val="00010C39"/>
    <w:rsid w:val="00011F80"/>
    <w:rsid w:val="00020A78"/>
    <w:rsid w:val="00025A20"/>
    <w:rsid w:val="00025C6A"/>
    <w:rsid w:val="0002724B"/>
    <w:rsid w:val="000321A1"/>
    <w:rsid w:val="00043FBC"/>
    <w:rsid w:val="00062603"/>
    <w:rsid w:val="00081E07"/>
    <w:rsid w:val="00085987"/>
    <w:rsid w:val="000864EF"/>
    <w:rsid w:val="00095E08"/>
    <w:rsid w:val="000A1FB2"/>
    <w:rsid w:val="000D47D7"/>
    <w:rsid w:val="000D6BC9"/>
    <w:rsid w:val="00102169"/>
    <w:rsid w:val="001057F0"/>
    <w:rsid w:val="00120455"/>
    <w:rsid w:val="001610D4"/>
    <w:rsid w:val="0017791A"/>
    <w:rsid w:val="00190B0D"/>
    <w:rsid w:val="001A0FE1"/>
    <w:rsid w:val="001A1850"/>
    <w:rsid w:val="001C4010"/>
    <w:rsid w:val="001E560E"/>
    <w:rsid w:val="001E5A48"/>
    <w:rsid w:val="001F23A2"/>
    <w:rsid w:val="001F364D"/>
    <w:rsid w:val="00200CB2"/>
    <w:rsid w:val="00213B0C"/>
    <w:rsid w:val="00214BAD"/>
    <w:rsid w:val="002161D2"/>
    <w:rsid w:val="002306E2"/>
    <w:rsid w:val="002307B6"/>
    <w:rsid w:val="00263D0C"/>
    <w:rsid w:val="00264103"/>
    <w:rsid w:val="00274395"/>
    <w:rsid w:val="00274E57"/>
    <w:rsid w:val="00280238"/>
    <w:rsid w:val="00296CD4"/>
    <w:rsid w:val="002A13CC"/>
    <w:rsid w:val="002A16CF"/>
    <w:rsid w:val="002A7F2D"/>
    <w:rsid w:val="002D46EA"/>
    <w:rsid w:val="002D6403"/>
    <w:rsid w:val="002D7715"/>
    <w:rsid w:val="002E66B5"/>
    <w:rsid w:val="00307FEF"/>
    <w:rsid w:val="0031145B"/>
    <w:rsid w:val="00321ED1"/>
    <w:rsid w:val="003302A8"/>
    <w:rsid w:val="0033698B"/>
    <w:rsid w:val="00373CC9"/>
    <w:rsid w:val="00384107"/>
    <w:rsid w:val="00390362"/>
    <w:rsid w:val="00392B78"/>
    <w:rsid w:val="00395F99"/>
    <w:rsid w:val="003C27B1"/>
    <w:rsid w:val="003D5BC7"/>
    <w:rsid w:val="003E0702"/>
    <w:rsid w:val="004160D9"/>
    <w:rsid w:val="004167A0"/>
    <w:rsid w:val="00420A51"/>
    <w:rsid w:val="00422D2A"/>
    <w:rsid w:val="0042449E"/>
    <w:rsid w:val="00447EBC"/>
    <w:rsid w:val="00465299"/>
    <w:rsid w:val="004676AB"/>
    <w:rsid w:val="00486B41"/>
    <w:rsid w:val="0049411E"/>
    <w:rsid w:val="004A51A2"/>
    <w:rsid w:val="004B3D23"/>
    <w:rsid w:val="004C09FE"/>
    <w:rsid w:val="004C7426"/>
    <w:rsid w:val="004E0410"/>
    <w:rsid w:val="00557578"/>
    <w:rsid w:val="00570A41"/>
    <w:rsid w:val="0058287E"/>
    <w:rsid w:val="0058442D"/>
    <w:rsid w:val="00584E9C"/>
    <w:rsid w:val="00591684"/>
    <w:rsid w:val="0059617C"/>
    <w:rsid w:val="005A7A32"/>
    <w:rsid w:val="005D0E30"/>
    <w:rsid w:val="005D6E0D"/>
    <w:rsid w:val="00601086"/>
    <w:rsid w:val="0065145B"/>
    <w:rsid w:val="0066123B"/>
    <w:rsid w:val="0066261E"/>
    <w:rsid w:val="00662DCA"/>
    <w:rsid w:val="00665DB7"/>
    <w:rsid w:val="00682B9E"/>
    <w:rsid w:val="006B3CF3"/>
    <w:rsid w:val="006B765B"/>
    <w:rsid w:val="006F4F8B"/>
    <w:rsid w:val="00701789"/>
    <w:rsid w:val="00720AC4"/>
    <w:rsid w:val="007216B8"/>
    <w:rsid w:val="00723159"/>
    <w:rsid w:val="00742751"/>
    <w:rsid w:val="00743D79"/>
    <w:rsid w:val="00770428"/>
    <w:rsid w:val="00770624"/>
    <w:rsid w:val="007754DF"/>
    <w:rsid w:val="0078343E"/>
    <w:rsid w:val="00792C30"/>
    <w:rsid w:val="0079751C"/>
    <w:rsid w:val="007A0EA6"/>
    <w:rsid w:val="007C442C"/>
    <w:rsid w:val="007C4E5F"/>
    <w:rsid w:val="007D5C3D"/>
    <w:rsid w:val="007D7342"/>
    <w:rsid w:val="007F1F66"/>
    <w:rsid w:val="007F54A6"/>
    <w:rsid w:val="007F6E28"/>
    <w:rsid w:val="0080386B"/>
    <w:rsid w:val="00806425"/>
    <w:rsid w:val="008137F8"/>
    <w:rsid w:val="008151AF"/>
    <w:rsid w:val="00827E57"/>
    <w:rsid w:val="00843E77"/>
    <w:rsid w:val="008522F7"/>
    <w:rsid w:val="00852944"/>
    <w:rsid w:val="00896BCF"/>
    <w:rsid w:val="008D63BC"/>
    <w:rsid w:val="008D6F96"/>
    <w:rsid w:val="008D6F9E"/>
    <w:rsid w:val="0090141A"/>
    <w:rsid w:val="0090446F"/>
    <w:rsid w:val="00905C1A"/>
    <w:rsid w:val="00915EB6"/>
    <w:rsid w:val="00922C2A"/>
    <w:rsid w:val="009360D2"/>
    <w:rsid w:val="00942EA1"/>
    <w:rsid w:val="009541E4"/>
    <w:rsid w:val="009700F9"/>
    <w:rsid w:val="00974BD5"/>
    <w:rsid w:val="00990863"/>
    <w:rsid w:val="009A65F2"/>
    <w:rsid w:val="009B2B87"/>
    <w:rsid w:val="009F7B45"/>
    <w:rsid w:val="00A10104"/>
    <w:rsid w:val="00A27B5F"/>
    <w:rsid w:val="00A34AD6"/>
    <w:rsid w:val="00A60957"/>
    <w:rsid w:val="00A77484"/>
    <w:rsid w:val="00A84978"/>
    <w:rsid w:val="00A90A2F"/>
    <w:rsid w:val="00A95BDF"/>
    <w:rsid w:val="00AB2397"/>
    <w:rsid w:val="00AD7E89"/>
    <w:rsid w:val="00AE2E1E"/>
    <w:rsid w:val="00AE51D3"/>
    <w:rsid w:val="00AF401F"/>
    <w:rsid w:val="00B03125"/>
    <w:rsid w:val="00B14721"/>
    <w:rsid w:val="00B32485"/>
    <w:rsid w:val="00B37C43"/>
    <w:rsid w:val="00B645AF"/>
    <w:rsid w:val="00B942FD"/>
    <w:rsid w:val="00BA027C"/>
    <w:rsid w:val="00BA09E4"/>
    <w:rsid w:val="00BA4CA1"/>
    <w:rsid w:val="00BC7109"/>
    <w:rsid w:val="00BD2211"/>
    <w:rsid w:val="00BD50CD"/>
    <w:rsid w:val="00BE3EF9"/>
    <w:rsid w:val="00BE6CA9"/>
    <w:rsid w:val="00C04878"/>
    <w:rsid w:val="00C16F97"/>
    <w:rsid w:val="00C25BE3"/>
    <w:rsid w:val="00C32D51"/>
    <w:rsid w:val="00C87E9A"/>
    <w:rsid w:val="00CA6BEB"/>
    <w:rsid w:val="00CB4F5F"/>
    <w:rsid w:val="00CD48C6"/>
    <w:rsid w:val="00CF40F8"/>
    <w:rsid w:val="00D05BFD"/>
    <w:rsid w:val="00D102E3"/>
    <w:rsid w:val="00D11B1F"/>
    <w:rsid w:val="00D260C8"/>
    <w:rsid w:val="00D26426"/>
    <w:rsid w:val="00D3745E"/>
    <w:rsid w:val="00D460FC"/>
    <w:rsid w:val="00D63DB8"/>
    <w:rsid w:val="00D70B74"/>
    <w:rsid w:val="00D80082"/>
    <w:rsid w:val="00D86F83"/>
    <w:rsid w:val="00D87963"/>
    <w:rsid w:val="00D9622F"/>
    <w:rsid w:val="00DB6805"/>
    <w:rsid w:val="00DD5B97"/>
    <w:rsid w:val="00DE4A54"/>
    <w:rsid w:val="00DF33F5"/>
    <w:rsid w:val="00E07BF8"/>
    <w:rsid w:val="00E2151E"/>
    <w:rsid w:val="00E22AE0"/>
    <w:rsid w:val="00E3177C"/>
    <w:rsid w:val="00E336D7"/>
    <w:rsid w:val="00E4355E"/>
    <w:rsid w:val="00E51440"/>
    <w:rsid w:val="00E62CAB"/>
    <w:rsid w:val="00E97045"/>
    <w:rsid w:val="00E97554"/>
    <w:rsid w:val="00EB1C9D"/>
    <w:rsid w:val="00EB7729"/>
    <w:rsid w:val="00ED4163"/>
    <w:rsid w:val="00ED5C02"/>
    <w:rsid w:val="00EE1B37"/>
    <w:rsid w:val="00F06618"/>
    <w:rsid w:val="00F16D1F"/>
    <w:rsid w:val="00F300B3"/>
    <w:rsid w:val="00F3507B"/>
    <w:rsid w:val="00F37962"/>
    <w:rsid w:val="00F4150C"/>
    <w:rsid w:val="00F47CBF"/>
    <w:rsid w:val="00F54EB3"/>
    <w:rsid w:val="00F61CD1"/>
    <w:rsid w:val="00F74C2F"/>
    <w:rsid w:val="00F7525F"/>
    <w:rsid w:val="00F76C50"/>
    <w:rsid w:val="00F87463"/>
    <w:rsid w:val="00F90080"/>
    <w:rsid w:val="00FA5307"/>
    <w:rsid w:val="00FB32F5"/>
    <w:rsid w:val="00FC1DA0"/>
    <w:rsid w:val="00FC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22A2F-2B74-4005-B29A-74D7630C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401F"/>
    <w:rPr>
      <w:color w:val="0000FF"/>
      <w:u w:val="single"/>
    </w:rPr>
  </w:style>
  <w:style w:type="paragraph" w:styleId="Header">
    <w:name w:val="header"/>
    <w:basedOn w:val="Normal"/>
    <w:link w:val="HeaderChar"/>
    <w:uiPriority w:val="99"/>
    <w:unhideWhenUsed/>
    <w:rsid w:val="0049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11E"/>
  </w:style>
  <w:style w:type="paragraph" w:styleId="Footer">
    <w:name w:val="footer"/>
    <w:basedOn w:val="Normal"/>
    <w:link w:val="FooterChar"/>
    <w:uiPriority w:val="99"/>
    <w:unhideWhenUsed/>
    <w:rsid w:val="0049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11E"/>
  </w:style>
  <w:style w:type="paragraph" w:styleId="FootnoteText">
    <w:name w:val="footnote text"/>
    <w:basedOn w:val="Normal"/>
    <w:link w:val="FootnoteTextChar"/>
    <w:uiPriority w:val="99"/>
    <w:semiHidden/>
    <w:unhideWhenUsed/>
    <w:rsid w:val="00D37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45E"/>
    <w:rPr>
      <w:sz w:val="20"/>
      <w:szCs w:val="20"/>
    </w:rPr>
  </w:style>
  <w:style w:type="character" w:styleId="FootnoteReference">
    <w:name w:val="footnote reference"/>
    <w:basedOn w:val="DefaultParagraphFont"/>
    <w:uiPriority w:val="99"/>
    <w:semiHidden/>
    <w:unhideWhenUsed/>
    <w:rsid w:val="00D3745E"/>
    <w:rPr>
      <w:vertAlign w:val="superscript"/>
    </w:rPr>
  </w:style>
  <w:style w:type="paragraph" w:styleId="NoSpacing">
    <w:name w:val="No Spacing"/>
    <w:uiPriority w:val="1"/>
    <w:qFormat/>
    <w:rsid w:val="007216B8"/>
    <w:pPr>
      <w:spacing w:after="0" w:line="240" w:lineRule="auto"/>
    </w:pPr>
  </w:style>
  <w:style w:type="paragraph" w:styleId="EndnoteText">
    <w:name w:val="endnote text"/>
    <w:basedOn w:val="Normal"/>
    <w:link w:val="EndnoteTextChar"/>
    <w:uiPriority w:val="99"/>
    <w:semiHidden/>
    <w:unhideWhenUsed/>
    <w:rsid w:val="006B3C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3CF3"/>
    <w:rPr>
      <w:sz w:val="20"/>
      <w:szCs w:val="20"/>
    </w:rPr>
  </w:style>
  <w:style w:type="paragraph" w:styleId="ListParagraph">
    <w:name w:val="List Paragraph"/>
    <w:basedOn w:val="Normal"/>
    <w:uiPriority w:val="34"/>
    <w:qFormat/>
    <w:rsid w:val="00D260C8"/>
    <w:pPr>
      <w:spacing w:after="0" w:line="240" w:lineRule="auto"/>
      <w:ind w:left="720"/>
      <w:contextualSpacing/>
    </w:pPr>
    <w:rPr>
      <w:rFonts w:ascii="Times New Roman" w:eastAsia="Times New Roman" w:hAnsi="Times New Roman" w:cs="Times New Roman"/>
      <w:noProof/>
      <w:sz w:val="28"/>
      <w:szCs w:val="20"/>
    </w:rPr>
  </w:style>
  <w:style w:type="character" w:customStyle="1" w:styleId="st">
    <w:name w:val="st"/>
    <w:rsid w:val="00D260C8"/>
  </w:style>
  <w:style w:type="character" w:styleId="Emphasis">
    <w:name w:val="Emphasis"/>
    <w:uiPriority w:val="20"/>
    <w:qFormat/>
    <w:rsid w:val="00D26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76CF-55AF-4E5E-B19B-7DEF07FA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6290</Words>
  <Characters>35854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Toby</dc:creator>
  <cp:keywords/>
  <dc:description/>
  <cp:lastModifiedBy>Green, Toby</cp:lastModifiedBy>
  <cp:revision>74</cp:revision>
  <dcterms:created xsi:type="dcterms:W3CDTF">2016-11-23T11:55:00Z</dcterms:created>
  <dcterms:modified xsi:type="dcterms:W3CDTF">2016-12-06T15:40:00Z</dcterms:modified>
</cp:coreProperties>
</file>